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B129" w14:textId="77777777" w:rsidR="000737F8" w:rsidRDefault="000737F8" w:rsidP="000737F8">
      <w:r w:rsidRPr="007C0BB0">
        <w:rPr>
          <w:b/>
          <w:bCs/>
        </w:rPr>
        <w:t>Virginia Medicaid Service Authorization Metrics for Medical Items and Services (Excluding Drugs)</w:t>
      </w:r>
    </w:p>
    <w:p w14:paraId="163DE715" w14:textId="38B19EA2" w:rsidR="000737F8" w:rsidRDefault="000737F8">
      <w:r w:rsidRPr="000737F8">
        <w:t xml:space="preserve">To comply with the Centers for Medicare &amp; Medicaid Services (CMS) Interoperability and Prior Authorization </w:t>
      </w:r>
      <w:hyperlink r:id="rId5" w:history="1">
        <w:r w:rsidRPr="000737F8">
          <w:rPr>
            <w:rStyle w:val="Hyperlink"/>
          </w:rPr>
          <w:t>final rule</w:t>
        </w:r>
      </w:hyperlink>
      <w:r w:rsidRPr="000737F8">
        <w:t xml:space="preserve">, </w:t>
      </w:r>
      <w:r w:rsidR="009B2104">
        <w:t>the Department of Medical Assisted Services (</w:t>
      </w:r>
      <w:r>
        <w:t>DMAS</w:t>
      </w:r>
      <w:r w:rsidR="009B2104">
        <w:t>)</w:t>
      </w:r>
      <w:r>
        <w:t xml:space="preserve"> is required to annually report aggregated prior authorization metrics on our website.  Specifically, this includes a list of all medical items and services (excluding drugs) that require prior authorization, as well as data on prior authorization requests for those items and services (e.g. approval, denials, etc.) over the previous calendar year.  Publicly reporting these metrics promotes transparency and accountability.  </w:t>
      </w:r>
    </w:p>
    <w:p w14:paraId="697ACC49" w14:textId="7960F63A" w:rsidR="003F05D4" w:rsidRDefault="000737F8">
      <w:bookmarkStart w:id="0" w:name="_Hlk216787406"/>
      <w:r>
        <w:t xml:space="preserve">For questions on the data below, </w:t>
      </w:r>
      <w:r w:rsidRPr="00EE6479">
        <w:t xml:space="preserve">members can contact the member helpline at </w:t>
      </w:r>
      <w:r w:rsidR="00541F48" w:rsidRPr="00EE6479">
        <w:rPr>
          <w:rStyle w:val="cf01"/>
          <w:rFonts w:asciiTheme="minorHAnsi" w:hAnsiTheme="minorHAnsi"/>
          <w:sz w:val="24"/>
          <w:szCs w:val="24"/>
        </w:rPr>
        <w:t>804-786-</w:t>
      </w:r>
      <w:r w:rsidR="00541F48" w:rsidRPr="00C33F55">
        <w:rPr>
          <w:rStyle w:val="cf01"/>
          <w:rFonts w:asciiTheme="minorHAnsi" w:hAnsiTheme="minorHAnsi"/>
          <w:sz w:val="24"/>
          <w:szCs w:val="24"/>
        </w:rPr>
        <w:t>6145</w:t>
      </w:r>
      <w:r w:rsidR="00541F48" w:rsidRPr="00C33F55">
        <w:t xml:space="preserve"> </w:t>
      </w:r>
      <w:r w:rsidR="00FE1969" w:rsidRPr="00C33F55">
        <w:t>(TDD: 1-888-221-1590)</w:t>
      </w:r>
      <w:r w:rsidRPr="00C33F55">
        <w:t xml:space="preserve">.  Providers can contact the provider helpline at </w:t>
      </w:r>
      <w:r w:rsidR="00825EFE" w:rsidRPr="00C33F55">
        <w:t>804-786-6273 or 1-800-</w:t>
      </w:r>
      <w:r w:rsidR="001D107F" w:rsidRPr="00C33F55">
        <w:t>552-8627</w:t>
      </w:r>
      <w:r w:rsidRPr="00C33F55">
        <w:t xml:space="preserve">.  </w:t>
      </w:r>
    </w:p>
    <w:tbl>
      <w:tblPr>
        <w:tblStyle w:val="TableGrid"/>
        <w:tblW w:w="0" w:type="auto"/>
        <w:tblLook w:val="04A0" w:firstRow="1" w:lastRow="0" w:firstColumn="1" w:lastColumn="0" w:noHBand="0" w:noVBand="1"/>
      </w:tblPr>
      <w:tblGrid>
        <w:gridCol w:w="9350"/>
      </w:tblGrid>
      <w:tr w:rsidR="00365549" w14:paraId="3C85A9E2" w14:textId="77777777" w:rsidTr="00365549">
        <w:tc>
          <w:tcPr>
            <w:tcW w:w="9350" w:type="dxa"/>
            <w:shd w:val="clear" w:color="auto" w:fill="CAEDFB" w:themeFill="accent4" w:themeFillTint="33"/>
          </w:tcPr>
          <w:bookmarkEnd w:id="0"/>
          <w:p w14:paraId="16364F1C" w14:textId="3491C4E8" w:rsidR="00365549" w:rsidRDefault="00365549">
            <w:r>
              <w:t>For medical items and services that require prior authorization (excluding drugs) select the appropriate link below:</w:t>
            </w:r>
          </w:p>
        </w:tc>
      </w:tr>
      <w:tr w:rsidR="00365549" w14:paraId="31891810" w14:textId="77777777" w:rsidTr="00365549">
        <w:tc>
          <w:tcPr>
            <w:tcW w:w="9350" w:type="dxa"/>
          </w:tcPr>
          <w:p w14:paraId="5EFDBBE3" w14:textId="77777777" w:rsidR="00365549" w:rsidRPr="009B2104" w:rsidRDefault="00365549" w:rsidP="00365549">
            <w:pPr>
              <w:rPr>
                <w:b/>
                <w:bCs/>
              </w:rPr>
            </w:pPr>
            <w:r>
              <w:rPr>
                <w:b/>
                <w:bCs/>
              </w:rPr>
              <w:t>Fee for Service (</w:t>
            </w:r>
            <w:r w:rsidRPr="009B2104">
              <w:rPr>
                <w:b/>
                <w:bCs/>
              </w:rPr>
              <w:t>FFS</w:t>
            </w:r>
            <w:r>
              <w:rPr>
                <w:b/>
                <w:bCs/>
              </w:rPr>
              <w:t>)</w:t>
            </w:r>
            <w:r w:rsidRPr="009B2104">
              <w:rPr>
                <w:b/>
                <w:bCs/>
              </w:rPr>
              <w:t xml:space="preserve"> Medical Items and Services:</w:t>
            </w:r>
          </w:p>
          <w:p w14:paraId="471DD0E6" w14:textId="4BDFBDB1" w:rsidR="00365549" w:rsidRDefault="00365549" w:rsidP="00365549">
            <w:r>
              <w:t>Search</w:t>
            </w:r>
            <w:r w:rsidR="007B0153">
              <w:t xml:space="preserve"> by</w:t>
            </w:r>
            <w:r>
              <w:t xml:space="preserve"> </w:t>
            </w:r>
            <w:hyperlink r:id="rId6" w:history="1">
              <w:r w:rsidR="007B0153" w:rsidRPr="007B0153">
                <w:rPr>
                  <w:rStyle w:val="Hyperlink"/>
                </w:rPr>
                <w:t>P</w:t>
              </w:r>
              <w:r w:rsidRPr="007B0153">
                <w:rPr>
                  <w:rStyle w:val="Hyperlink"/>
                </w:rPr>
                <w:t xml:space="preserve">rocedure </w:t>
              </w:r>
              <w:r w:rsidR="007B0153" w:rsidRPr="007B0153">
                <w:rPr>
                  <w:rStyle w:val="Hyperlink"/>
                </w:rPr>
                <w:t>Fee Files and CPT codes</w:t>
              </w:r>
            </w:hyperlink>
            <w:r w:rsidR="007B0153">
              <w:t xml:space="preserve"> on the DMAS website.</w:t>
            </w:r>
          </w:p>
          <w:p w14:paraId="662DB5A8" w14:textId="77777777" w:rsidR="00B2530B" w:rsidRDefault="00B2530B" w:rsidP="00BA22FD">
            <w:pPr>
              <w:pStyle w:val="NoSpacing"/>
            </w:pPr>
          </w:p>
          <w:p w14:paraId="1300CFEA" w14:textId="2A379F73" w:rsidR="00BA22FD" w:rsidRDefault="003D1F21" w:rsidP="00BA22FD">
            <w:pPr>
              <w:pStyle w:val="NoSpacing"/>
            </w:pPr>
            <w:r>
              <w:t xml:space="preserve">Enter a CPT code or scroll down to download a report.  </w:t>
            </w:r>
            <w:r w:rsidR="00BA22FD" w:rsidRPr="00BA22FD">
              <w:t>Each</w:t>
            </w:r>
            <w:r w:rsidR="00591B43">
              <w:t xml:space="preserve"> report</w:t>
            </w:r>
            <w:r w:rsidR="00BA22FD" w:rsidRPr="00BA22FD">
              <w:t xml:space="preserve"> contains specific sections of codes. </w:t>
            </w:r>
            <w:r w:rsidR="00BA22FD">
              <w:t xml:space="preserve"> </w:t>
            </w:r>
            <w:r w:rsidR="00BA22FD" w:rsidRPr="00BA22FD">
              <w:t xml:space="preserve">HCPC codes </w:t>
            </w:r>
            <w:r w:rsidR="00591B43">
              <w:t xml:space="preserve">are also included </w:t>
            </w:r>
            <w:r w:rsidR="00BA22FD" w:rsidRPr="00BA22FD">
              <w:t>further down on the webpage</w:t>
            </w:r>
            <w:r w:rsidR="00BA22FD">
              <w:t xml:space="preserve">.  </w:t>
            </w:r>
            <w:r w:rsidR="00BA22FD" w:rsidRPr="003D1F21">
              <w:t xml:space="preserve">Any code on the report with a PA Type 01, 02, 03 require </w:t>
            </w:r>
            <w:r w:rsidR="00591B43">
              <w:t>authorization</w:t>
            </w:r>
            <w:r w:rsidR="00BA22FD" w:rsidRPr="003D1F21">
              <w:t>. Codes with PA Type 00</w:t>
            </w:r>
            <w:r w:rsidR="00AE1E7E">
              <w:t xml:space="preserve"> or null</w:t>
            </w:r>
            <w:r w:rsidR="00BA22FD" w:rsidRPr="003D1F21">
              <w:t xml:space="preserve"> do not require </w:t>
            </w:r>
            <w:r w:rsidR="00591B43">
              <w:t>authorization</w:t>
            </w:r>
            <w:r w:rsidR="00BA22FD" w:rsidRPr="003D1F21">
              <w:t>. </w:t>
            </w:r>
            <w:r w:rsidR="00AE1E7E">
              <w:t>Codes that have a 999 flag</w:t>
            </w:r>
            <w:r w:rsidR="00A822B3">
              <w:t xml:space="preserve"> in column AQ</w:t>
            </w:r>
            <w:r w:rsidR="00AE1E7E">
              <w:t xml:space="preserve"> is not a covered service.  </w:t>
            </w:r>
            <w:r w:rsidR="00B2530B">
              <w:t xml:space="preserve">For more information click here </w:t>
            </w:r>
            <w:commentRangeStart w:id="1"/>
            <w:r w:rsidR="00B2530B">
              <w:t>XXXXX</w:t>
            </w:r>
            <w:commentRangeEnd w:id="1"/>
            <w:r w:rsidR="00B2530B">
              <w:rPr>
                <w:rStyle w:val="CommentReference"/>
              </w:rPr>
              <w:commentReference w:id="1"/>
            </w:r>
          </w:p>
          <w:p w14:paraId="1B3F1288" w14:textId="77777777" w:rsidR="00BA22FD" w:rsidRDefault="00BA22FD" w:rsidP="00BA22FD">
            <w:pPr>
              <w:pStyle w:val="NoSpacing"/>
            </w:pPr>
          </w:p>
          <w:p w14:paraId="0D332FDF" w14:textId="77777777" w:rsidR="00365549" w:rsidRPr="00D42294" w:rsidRDefault="00365549" w:rsidP="00365549">
            <w:pPr>
              <w:rPr>
                <w:b/>
                <w:bCs/>
              </w:rPr>
            </w:pPr>
            <w:r w:rsidRPr="00D42294">
              <w:rPr>
                <w:b/>
                <w:bCs/>
              </w:rPr>
              <w:t xml:space="preserve">Medical and Behavioral Health Contractor – </w:t>
            </w:r>
            <w:proofErr w:type="spellStart"/>
            <w:r w:rsidRPr="00D42294">
              <w:rPr>
                <w:b/>
                <w:bCs/>
              </w:rPr>
              <w:t>Acentra</w:t>
            </w:r>
            <w:proofErr w:type="spellEnd"/>
            <w:r w:rsidRPr="00D42294">
              <w:rPr>
                <w:b/>
                <w:bCs/>
              </w:rPr>
              <w:t>:</w:t>
            </w:r>
          </w:p>
          <w:p w14:paraId="7FC037DA" w14:textId="08BDBADC" w:rsidR="00365549" w:rsidRDefault="00365549" w:rsidP="00365549">
            <w:r w:rsidRPr="000A66CD">
              <w:t xml:space="preserve">The </w:t>
            </w:r>
            <w:hyperlink r:id="rId11" w:history="1">
              <w:r w:rsidRPr="000A66CD">
                <w:rPr>
                  <w:rStyle w:val="Hyperlink"/>
                </w:rPr>
                <w:t>MES SA/</w:t>
              </w:r>
              <w:proofErr w:type="spellStart"/>
              <w:r w:rsidRPr="000A66CD">
                <w:rPr>
                  <w:rStyle w:val="Hyperlink"/>
                </w:rPr>
                <w:t>Acentra</w:t>
              </w:r>
              <w:proofErr w:type="spellEnd"/>
              <w:r w:rsidRPr="000A66CD">
                <w:rPr>
                  <w:rStyle w:val="Hyperlink"/>
                </w:rPr>
                <w:t xml:space="preserve"> Site</w:t>
              </w:r>
            </w:hyperlink>
            <w:r w:rsidRPr="000A66CD">
              <w:t xml:space="preserve"> has a service auth</w:t>
            </w:r>
            <w:r w:rsidR="00EC3650">
              <w:t>orization</w:t>
            </w:r>
            <w:r w:rsidRPr="000A66CD">
              <w:t xml:space="preserve"> </w:t>
            </w:r>
            <w:hyperlink r:id="rId12" w:history="1">
              <w:r w:rsidRPr="000A66CD">
                <w:rPr>
                  <w:rStyle w:val="Hyperlink"/>
                </w:rPr>
                <w:t>Checklist</w:t>
              </w:r>
            </w:hyperlink>
            <w:r w:rsidRPr="000A66CD">
              <w:t xml:space="preserve"> and </w:t>
            </w:r>
            <w:hyperlink r:id="rId13" w:history="1">
              <w:proofErr w:type="spellStart"/>
              <w:r w:rsidRPr="000A66CD">
                <w:rPr>
                  <w:rStyle w:val="Hyperlink"/>
                </w:rPr>
                <w:t>Atrezzo</w:t>
              </w:r>
              <w:proofErr w:type="spellEnd"/>
              <w:r w:rsidRPr="000A66CD">
                <w:rPr>
                  <w:rStyle w:val="Hyperlink"/>
                </w:rPr>
                <w:t xml:space="preserve"> FAQs</w:t>
              </w:r>
            </w:hyperlink>
            <w:r w:rsidRPr="000A66CD">
              <w:t>. </w:t>
            </w:r>
          </w:p>
          <w:p w14:paraId="4A2CFEB5" w14:textId="77777777" w:rsidR="00EC3650" w:rsidRDefault="00EC3650" w:rsidP="00365549"/>
          <w:p w14:paraId="02E8D9CE" w14:textId="07B58A40" w:rsidR="00365549" w:rsidRPr="00D42294" w:rsidRDefault="00365549" w:rsidP="00365549">
            <w:pPr>
              <w:rPr>
                <w:b/>
                <w:bCs/>
              </w:rPr>
            </w:pPr>
            <w:r w:rsidRPr="00D42294">
              <w:rPr>
                <w:b/>
                <w:bCs/>
              </w:rPr>
              <w:t xml:space="preserve">Dental Contractor: </w:t>
            </w:r>
            <w:proofErr w:type="spellStart"/>
            <w:r w:rsidRPr="00D42294">
              <w:rPr>
                <w:b/>
                <w:bCs/>
              </w:rPr>
              <w:t>DentaQuest</w:t>
            </w:r>
            <w:proofErr w:type="spellEnd"/>
          </w:p>
          <w:p w14:paraId="65648E53" w14:textId="67781C5E" w:rsidR="00365549" w:rsidRDefault="007B0153" w:rsidP="00365549">
            <w:r>
              <w:t xml:space="preserve">Search by </w:t>
            </w:r>
            <w:hyperlink r:id="rId14" w:history="1">
              <w:r w:rsidRPr="007B0153">
                <w:rPr>
                  <w:rStyle w:val="Hyperlink"/>
                </w:rPr>
                <w:t xml:space="preserve">Procedure </w:t>
              </w:r>
              <w:r w:rsidR="00AE1E7E">
                <w:rPr>
                  <w:rStyle w:val="Hyperlink"/>
                </w:rPr>
                <w:t>Codes</w:t>
              </w:r>
            </w:hyperlink>
            <w:r>
              <w:t xml:space="preserve"> on the DMAS website. </w:t>
            </w:r>
          </w:p>
          <w:p w14:paraId="7682445C" w14:textId="55336400" w:rsidR="00D42294" w:rsidRDefault="00D42294" w:rsidP="00BA22FD">
            <w:pPr>
              <w:pStyle w:val="NoSpacing"/>
            </w:pPr>
            <w:r w:rsidRPr="00D42294">
              <w:t xml:space="preserve">This includes the listing of all procedure codes broken down by plan (under 21, over 21, pregnant members) beginning on </w:t>
            </w:r>
            <w:r w:rsidRPr="00C963A8">
              <w:rPr>
                <w:b/>
                <w:bCs/>
              </w:rPr>
              <w:t>page 50</w:t>
            </w:r>
            <w:r w:rsidRPr="00D42294">
              <w:t>. There is a column that indicates if a service authorization is required.</w:t>
            </w:r>
          </w:p>
          <w:p w14:paraId="7815A18F" w14:textId="77777777" w:rsidR="00D42294" w:rsidRDefault="00D42294" w:rsidP="00365549"/>
          <w:p w14:paraId="39F85C26" w14:textId="4D919742" w:rsidR="00365549" w:rsidRPr="00D42294" w:rsidRDefault="00365549" w:rsidP="00365549">
            <w:pPr>
              <w:rPr>
                <w:b/>
                <w:bCs/>
              </w:rPr>
            </w:pPr>
            <w:r w:rsidRPr="00D42294">
              <w:rPr>
                <w:b/>
                <w:bCs/>
              </w:rPr>
              <w:t>Developmentally Disabled Waiver Partner:  DBHDS</w:t>
            </w:r>
          </w:p>
          <w:p w14:paraId="6ED30C3B" w14:textId="23A1314F" w:rsidR="005D03F4" w:rsidRDefault="00492B7A" w:rsidP="00AE1E7E">
            <w:hyperlink r:id="rId15" w:tooltip="https://vamedicaid.dmas.virginia.gov/sites/default/files/2024-10/DD%20Waiver%20App.%20D%20%28updated%2010.10.24%29_Final.pdf" w:history="1">
              <w:r w:rsidRPr="00492B7A">
                <w:rPr>
                  <w:rStyle w:val="Hyperlink"/>
                </w:rPr>
                <w:t>Appendix D</w:t>
              </w:r>
            </w:hyperlink>
            <w:r w:rsidRPr="00492B7A">
              <w:t> of the DD Waiver manual includes the services that require SA.</w:t>
            </w:r>
          </w:p>
        </w:tc>
      </w:tr>
    </w:tbl>
    <w:p w14:paraId="499899A4" w14:textId="77777777" w:rsidR="00365549" w:rsidRDefault="00365549"/>
    <w:p w14:paraId="2FE8F0A3" w14:textId="1F3DC0DA" w:rsidR="000A66CD" w:rsidRDefault="009B2104">
      <w:r>
        <w:t xml:space="preserve">Prior to January 1, 2026, prior authorization decisions </w:t>
      </w:r>
      <w:r w:rsidR="00F81112">
        <w:t xml:space="preserve">were required to meet the </w:t>
      </w:r>
      <w:r>
        <w:t>following timeframes:</w:t>
      </w:r>
    </w:p>
    <w:p w14:paraId="711499BB" w14:textId="39E9C1FA" w:rsidR="009B2104" w:rsidRDefault="009B2104" w:rsidP="009B2104">
      <w:pPr>
        <w:pStyle w:val="ListParagraph"/>
        <w:numPr>
          <w:ilvl w:val="0"/>
          <w:numId w:val="1"/>
        </w:numPr>
      </w:pPr>
      <w:r>
        <w:t>72 hours for expedited requests (urgent)</w:t>
      </w:r>
    </w:p>
    <w:p w14:paraId="4F9ED638" w14:textId="63D51F1B" w:rsidR="009B2104" w:rsidRDefault="009B2104" w:rsidP="009B2104">
      <w:pPr>
        <w:pStyle w:val="ListParagraph"/>
        <w:numPr>
          <w:ilvl w:val="0"/>
          <w:numId w:val="1"/>
        </w:numPr>
      </w:pPr>
      <w:r>
        <w:lastRenderedPageBreak/>
        <w:t>14 calendar days for standard requests (non-urgent)</w:t>
      </w:r>
    </w:p>
    <w:p w14:paraId="04340FA1" w14:textId="2662DE9B" w:rsidR="009B2104" w:rsidRDefault="009B2104">
      <w:r>
        <w:t xml:space="preserve">Beginning January 1, 2026, </w:t>
      </w:r>
      <w:r w:rsidR="00F81112">
        <w:t xml:space="preserve">the </w:t>
      </w:r>
      <w:r w:rsidR="00365549" w:rsidRPr="000737F8">
        <w:t xml:space="preserve">Interoperability and Prior Authorization </w:t>
      </w:r>
      <w:hyperlink r:id="rId16" w:history="1">
        <w:r w:rsidR="00365549" w:rsidRPr="000737F8">
          <w:rPr>
            <w:rStyle w:val="Hyperlink"/>
          </w:rPr>
          <w:t>final rule</w:t>
        </w:r>
      </w:hyperlink>
      <w:r w:rsidR="00365549">
        <w:t xml:space="preserve"> requires  prior authorization decisions </w:t>
      </w:r>
      <w:r w:rsidR="00F81112">
        <w:t>to meet the following timeframes</w:t>
      </w:r>
      <w:r w:rsidR="00365549">
        <w:t xml:space="preserve">: </w:t>
      </w:r>
    </w:p>
    <w:p w14:paraId="3AA0DED8" w14:textId="57777510" w:rsidR="00365549" w:rsidRDefault="00365549" w:rsidP="00365549">
      <w:pPr>
        <w:pStyle w:val="ListParagraph"/>
        <w:numPr>
          <w:ilvl w:val="0"/>
          <w:numId w:val="2"/>
        </w:numPr>
      </w:pPr>
      <w:r>
        <w:t>72 hours for expedited requests (urgent)</w:t>
      </w:r>
    </w:p>
    <w:p w14:paraId="608286CE" w14:textId="20533FD4" w:rsidR="00365549" w:rsidRDefault="00365549" w:rsidP="00365549">
      <w:pPr>
        <w:pStyle w:val="ListParagraph"/>
        <w:numPr>
          <w:ilvl w:val="0"/>
          <w:numId w:val="2"/>
        </w:numPr>
      </w:pPr>
      <w:r>
        <w:t>7 calendar days for standard requests (non-urgent)</w:t>
      </w:r>
    </w:p>
    <w:p w14:paraId="250286B1" w14:textId="77777777" w:rsidR="00C818EE" w:rsidRDefault="00C818EE" w:rsidP="00F81112"/>
    <w:p w14:paraId="47DE12A0" w14:textId="0BD75C97" w:rsidR="00C818EE" w:rsidRDefault="00F77F73" w:rsidP="00F77F73">
      <w:pPr>
        <w:jc w:val="center"/>
      </w:pPr>
      <w:r>
        <w:rPr>
          <w:b/>
          <w:bCs/>
        </w:rPr>
        <w:t xml:space="preserve">Click </w:t>
      </w:r>
      <w:commentRangeStart w:id="2"/>
      <w:r>
        <w:rPr>
          <w:b/>
          <w:bCs/>
        </w:rPr>
        <w:t>here</w:t>
      </w:r>
      <w:commentRangeEnd w:id="2"/>
      <w:r>
        <w:rPr>
          <w:rStyle w:val="CommentReference"/>
        </w:rPr>
        <w:commentReference w:id="2"/>
      </w:r>
      <w:r>
        <w:rPr>
          <w:b/>
          <w:bCs/>
        </w:rPr>
        <w:t xml:space="preserve"> to review the </w:t>
      </w:r>
      <w:r w:rsidR="00C818EE">
        <w:rPr>
          <w:b/>
          <w:bCs/>
        </w:rPr>
        <w:t xml:space="preserve">FFS </w:t>
      </w:r>
      <w:r>
        <w:rPr>
          <w:b/>
          <w:bCs/>
        </w:rPr>
        <w:t xml:space="preserve">annual </w:t>
      </w:r>
      <w:r w:rsidR="00C818EE" w:rsidRPr="00FE1969">
        <w:rPr>
          <w:b/>
          <w:bCs/>
        </w:rPr>
        <w:t xml:space="preserve">performance metrics </w:t>
      </w:r>
      <w:r w:rsidR="00C818EE">
        <w:rPr>
          <w:b/>
          <w:bCs/>
        </w:rPr>
        <w:t xml:space="preserve">for </w:t>
      </w:r>
      <w:r>
        <w:rPr>
          <w:b/>
          <w:bCs/>
        </w:rPr>
        <w:t>prior</w:t>
      </w:r>
      <w:r w:rsidR="00C818EE">
        <w:rPr>
          <w:b/>
          <w:bCs/>
        </w:rPr>
        <w:t xml:space="preserve"> auth</w:t>
      </w:r>
      <w:r w:rsidR="00C818EE" w:rsidRPr="00FE1969">
        <w:rPr>
          <w:b/>
          <w:bCs/>
        </w:rPr>
        <w:t>orization processes</w:t>
      </w:r>
      <w:r>
        <w:rPr>
          <w:b/>
          <w:bCs/>
        </w:rPr>
        <w:t>.</w:t>
      </w:r>
    </w:p>
    <w:p w14:paraId="60FDEFB8" w14:textId="77777777" w:rsidR="00E36B31" w:rsidRDefault="00E36B31" w:rsidP="009D56F4">
      <w:pPr>
        <w:rPr>
          <w:b/>
          <w:bCs/>
        </w:rPr>
      </w:pPr>
      <w:bookmarkStart w:id="3" w:name="_Hlk214981115"/>
    </w:p>
    <w:p w14:paraId="266157EC" w14:textId="4E16EFE4" w:rsidR="00F77F73" w:rsidRDefault="00E36B31" w:rsidP="009D56F4">
      <w:pPr>
        <w:rPr>
          <w:b/>
          <w:bCs/>
        </w:rPr>
      </w:pPr>
      <w:r>
        <w:rPr>
          <w:b/>
          <w:bCs/>
        </w:rPr>
        <w:t xml:space="preserve">Managed care </w:t>
      </w:r>
      <w:r w:rsidRPr="00FE1969">
        <w:rPr>
          <w:b/>
          <w:bCs/>
        </w:rPr>
        <w:t>performance metrics for each health plans</w:t>
      </w:r>
      <w:r>
        <w:rPr>
          <w:b/>
          <w:bCs/>
        </w:rPr>
        <w:t>’</w:t>
      </w:r>
      <w:r w:rsidRPr="00FE1969">
        <w:rPr>
          <w:b/>
          <w:bCs/>
        </w:rPr>
        <w:t xml:space="preserve"> </w:t>
      </w:r>
      <w:r>
        <w:rPr>
          <w:b/>
          <w:bCs/>
        </w:rPr>
        <w:t>prior</w:t>
      </w:r>
      <w:r w:rsidRPr="00FE1969">
        <w:rPr>
          <w:b/>
          <w:bCs/>
        </w:rPr>
        <w:t xml:space="preserve"> authorization processes</w:t>
      </w:r>
      <w:r w:rsidRPr="00BD61F2">
        <w:rPr>
          <w:b/>
          <w:bCs/>
        </w:rPr>
        <w:t xml:space="preserve"> are located at the following link</w:t>
      </w:r>
      <w:r>
        <w:rPr>
          <w:b/>
          <w:bCs/>
        </w:rPr>
        <w:t>s</w:t>
      </w:r>
      <w:r w:rsidRPr="00BD61F2">
        <w:rPr>
          <w:b/>
          <w:bCs/>
        </w:rPr>
        <w:t>:</w:t>
      </w:r>
    </w:p>
    <w:tbl>
      <w:tblPr>
        <w:tblStyle w:val="TableGrid"/>
        <w:tblW w:w="0" w:type="auto"/>
        <w:tblLook w:val="04A0" w:firstRow="1" w:lastRow="0" w:firstColumn="1" w:lastColumn="0" w:noHBand="0" w:noVBand="1"/>
      </w:tblPr>
      <w:tblGrid>
        <w:gridCol w:w="988"/>
        <w:gridCol w:w="8362"/>
      </w:tblGrid>
      <w:tr w:rsidR="00E36B31" w14:paraId="62D9894F" w14:textId="77777777" w:rsidTr="00256084">
        <w:tc>
          <w:tcPr>
            <w:tcW w:w="985" w:type="dxa"/>
          </w:tcPr>
          <w:p w14:paraId="40819AED" w14:textId="77777777" w:rsidR="00E36B31" w:rsidRDefault="00E36B31" w:rsidP="00256084"/>
        </w:tc>
        <w:tc>
          <w:tcPr>
            <w:tcW w:w="8365" w:type="dxa"/>
            <w:vAlign w:val="bottom"/>
          </w:tcPr>
          <w:p w14:paraId="47214825" w14:textId="77777777" w:rsidR="00E36B31" w:rsidRPr="009B51BD" w:rsidRDefault="00E36B31" w:rsidP="00256084">
            <w:pPr>
              <w:rPr>
                <w:b/>
                <w:bCs/>
              </w:rPr>
            </w:pPr>
            <w:r w:rsidRPr="009B51BD">
              <w:rPr>
                <w:rFonts w:ascii="Aptos Narrow" w:hAnsi="Aptos Narrow"/>
                <w:b/>
                <w:bCs/>
                <w:color w:val="000000"/>
                <w:sz w:val="22"/>
                <w:szCs w:val="22"/>
              </w:rPr>
              <w:t>*MCO website Link/Report may be not available until March 31</w:t>
            </w:r>
          </w:p>
        </w:tc>
      </w:tr>
      <w:tr w:rsidR="00E36B31" w14:paraId="5E58A342" w14:textId="77777777" w:rsidTr="00256084">
        <w:tc>
          <w:tcPr>
            <w:tcW w:w="985" w:type="dxa"/>
            <w:vAlign w:val="bottom"/>
          </w:tcPr>
          <w:p w14:paraId="4E757BAF" w14:textId="77777777" w:rsidR="00E36B31" w:rsidRPr="009B51BD" w:rsidRDefault="00E36B31" w:rsidP="00256084">
            <w:pPr>
              <w:rPr>
                <w:b/>
                <w:bCs/>
              </w:rPr>
            </w:pPr>
            <w:r w:rsidRPr="009B51BD">
              <w:rPr>
                <w:rFonts w:ascii="Aptos Narrow" w:hAnsi="Aptos Narrow"/>
                <w:b/>
                <w:bCs/>
                <w:color w:val="000000"/>
                <w:sz w:val="22"/>
                <w:szCs w:val="22"/>
              </w:rPr>
              <w:t>Aetna</w:t>
            </w:r>
          </w:p>
        </w:tc>
        <w:tc>
          <w:tcPr>
            <w:tcW w:w="8365" w:type="dxa"/>
            <w:vAlign w:val="center"/>
          </w:tcPr>
          <w:p w14:paraId="0C16B634" w14:textId="77777777" w:rsidR="00E36B31" w:rsidRDefault="00E36B31" w:rsidP="00256084">
            <w:hyperlink r:id="rId17" w:history="1">
              <w:r>
                <w:rPr>
                  <w:rStyle w:val="Hyperlink"/>
                  <w:rFonts w:ascii="Aptos Narrow" w:hAnsi="Aptos Narrow"/>
                  <w:sz w:val="22"/>
                  <w:szCs w:val="22"/>
                </w:rPr>
                <w:t>https://www.aetnabetterhealth.com/virginia/providers/prior-authorization.html</w:t>
              </w:r>
            </w:hyperlink>
          </w:p>
        </w:tc>
      </w:tr>
      <w:tr w:rsidR="00E36B31" w14:paraId="72DDCB6B" w14:textId="77777777" w:rsidTr="00256084">
        <w:tc>
          <w:tcPr>
            <w:tcW w:w="985" w:type="dxa"/>
            <w:vAlign w:val="bottom"/>
          </w:tcPr>
          <w:p w14:paraId="097C07ED" w14:textId="77777777" w:rsidR="00E36B31" w:rsidRPr="009B51BD" w:rsidRDefault="00E36B31" w:rsidP="00256084">
            <w:pPr>
              <w:rPr>
                <w:b/>
                <w:bCs/>
              </w:rPr>
            </w:pPr>
            <w:r w:rsidRPr="009B51BD">
              <w:rPr>
                <w:rFonts w:ascii="Aptos Narrow" w:hAnsi="Aptos Narrow"/>
                <w:b/>
                <w:bCs/>
                <w:color w:val="000000"/>
                <w:sz w:val="22"/>
                <w:szCs w:val="22"/>
              </w:rPr>
              <w:t>Anthem</w:t>
            </w:r>
          </w:p>
        </w:tc>
        <w:tc>
          <w:tcPr>
            <w:tcW w:w="8365" w:type="dxa"/>
            <w:vAlign w:val="bottom"/>
          </w:tcPr>
          <w:p w14:paraId="7648C69E" w14:textId="77777777" w:rsidR="00E36B31" w:rsidRDefault="00E36B31" w:rsidP="00256084">
            <w:pPr>
              <w:rPr>
                <w:rFonts w:ascii="Aptos Narrow" w:hAnsi="Aptos Narrow"/>
                <w:color w:val="000000"/>
                <w:sz w:val="22"/>
                <w:szCs w:val="22"/>
              </w:rPr>
            </w:pPr>
            <w:r>
              <w:rPr>
                <w:rFonts w:ascii="Aptos Narrow" w:hAnsi="Aptos Narrow"/>
                <w:color w:val="000000"/>
                <w:sz w:val="22"/>
                <w:szCs w:val="22"/>
              </w:rPr>
              <w:t>English:</w:t>
            </w:r>
          </w:p>
          <w:p w14:paraId="60F88C17" w14:textId="77777777" w:rsidR="00E36B31" w:rsidRDefault="00E36B31" w:rsidP="00256084">
            <w:pPr>
              <w:rPr>
                <w:rFonts w:ascii="Aptos Narrow" w:hAnsi="Aptos Narrow"/>
                <w:color w:val="000000"/>
                <w:sz w:val="22"/>
                <w:szCs w:val="22"/>
              </w:rPr>
            </w:pPr>
            <w:hyperlink r:id="rId18" w:history="1">
              <w:r w:rsidRPr="00B21F17">
                <w:rPr>
                  <w:rStyle w:val="Hyperlink"/>
                  <w:rFonts w:ascii="Aptos Narrow" w:hAnsi="Aptos Narrow"/>
                  <w:sz w:val="22"/>
                  <w:szCs w:val="22"/>
                </w:rPr>
                <w:t>https://www.anthem.com/va/medicaid/prior-authorization-report</w:t>
              </w:r>
            </w:hyperlink>
            <w:r>
              <w:rPr>
                <w:rFonts w:ascii="Aptos Narrow" w:hAnsi="Aptos Narrow"/>
                <w:color w:val="000000"/>
                <w:sz w:val="22"/>
                <w:szCs w:val="22"/>
              </w:rPr>
              <w:t xml:space="preserve"> </w:t>
            </w:r>
          </w:p>
          <w:p w14:paraId="3A232F63" w14:textId="77777777" w:rsidR="00E36B31" w:rsidRDefault="00E36B31" w:rsidP="00256084">
            <w:r>
              <w:rPr>
                <w:rFonts w:ascii="Aptos Narrow" w:hAnsi="Aptos Narrow"/>
                <w:color w:val="000000"/>
                <w:sz w:val="22"/>
                <w:szCs w:val="22"/>
              </w:rPr>
              <w:t>Spanish:</w:t>
            </w:r>
            <w:r>
              <w:rPr>
                <w:rFonts w:ascii="Aptos Narrow" w:hAnsi="Aptos Narrow"/>
                <w:color w:val="000000"/>
                <w:sz w:val="22"/>
                <w:szCs w:val="22"/>
              </w:rPr>
              <w:br/>
            </w:r>
            <w:hyperlink r:id="rId19" w:history="1">
              <w:r w:rsidRPr="00B21F17">
                <w:rPr>
                  <w:rStyle w:val="Hyperlink"/>
                  <w:rFonts w:ascii="Aptos Narrow" w:hAnsi="Aptos Narrow"/>
                  <w:sz w:val="22"/>
                  <w:szCs w:val="22"/>
                </w:rPr>
                <w:t>https://www.anthem.com/es/va/medicaid/prior-authorization-report</w:t>
              </w:r>
            </w:hyperlink>
            <w:r>
              <w:rPr>
                <w:rFonts w:ascii="Aptos Narrow" w:hAnsi="Aptos Narrow"/>
                <w:color w:val="000000"/>
                <w:sz w:val="22"/>
                <w:szCs w:val="22"/>
              </w:rPr>
              <w:t xml:space="preserve"> </w:t>
            </w:r>
          </w:p>
        </w:tc>
      </w:tr>
      <w:tr w:rsidR="00E36B31" w14:paraId="07C7E0D1" w14:textId="77777777" w:rsidTr="00256084">
        <w:tc>
          <w:tcPr>
            <w:tcW w:w="985" w:type="dxa"/>
            <w:vAlign w:val="bottom"/>
          </w:tcPr>
          <w:p w14:paraId="41D1BBA3" w14:textId="77777777" w:rsidR="00E36B31" w:rsidRPr="009B51BD" w:rsidRDefault="00E36B31" w:rsidP="00256084">
            <w:pPr>
              <w:rPr>
                <w:b/>
                <w:bCs/>
              </w:rPr>
            </w:pPr>
            <w:r w:rsidRPr="009B51BD">
              <w:rPr>
                <w:rFonts w:ascii="Aptos Narrow" w:hAnsi="Aptos Narrow"/>
                <w:b/>
                <w:bCs/>
                <w:color w:val="000000"/>
                <w:sz w:val="22"/>
                <w:szCs w:val="22"/>
              </w:rPr>
              <w:t>Humana</w:t>
            </w:r>
          </w:p>
        </w:tc>
        <w:tc>
          <w:tcPr>
            <w:tcW w:w="8365" w:type="dxa"/>
            <w:vAlign w:val="bottom"/>
          </w:tcPr>
          <w:p w14:paraId="2618281E" w14:textId="77777777" w:rsidR="00E36B31" w:rsidRDefault="00E36B31" w:rsidP="00256084">
            <w:hyperlink r:id="rId20" w:history="1">
              <w:r>
                <w:rPr>
                  <w:rStyle w:val="Hyperlink"/>
                  <w:rFonts w:ascii="Aptos Narrow" w:hAnsi="Aptos Narrow"/>
                  <w:sz w:val="22"/>
                  <w:szCs w:val="22"/>
                </w:rPr>
                <w:t xml:space="preserve"> https://provider.humana.com/coverage-claims/prior-authorizations/prior-authorization-metrics</w:t>
              </w:r>
            </w:hyperlink>
          </w:p>
        </w:tc>
      </w:tr>
      <w:tr w:rsidR="00E36B31" w14:paraId="3FBB977F" w14:textId="77777777" w:rsidTr="00256084">
        <w:tc>
          <w:tcPr>
            <w:tcW w:w="985" w:type="dxa"/>
            <w:vAlign w:val="bottom"/>
          </w:tcPr>
          <w:p w14:paraId="1A086435" w14:textId="77777777" w:rsidR="00E36B31" w:rsidRPr="009B51BD" w:rsidRDefault="00E36B31" w:rsidP="00256084">
            <w:pPr>
              <w:rPr>
                <w:b/>
                <w:bCs/>
              </w:rPr>
            </w:pPr>
            <w:r w:rsidRPr="009B51BD">
              <w:rPr>
                <w:rFonts w:ascii="Aptos Narrow" w:hAnsi="Aptos Narrow"/>
                <w:b/>
                <w:bCs/>
                <w:color w:val="000000"/>
                <w:sz w:val="22"/>
                <w:szCs w:val="22"/>
              </w:rPr>
              <w:t>Sentara</w:t>
            </w:r>
          </w:p>
        </w:tc>
        <w:tc>
          <w:tcPr>
            <w:tcW w:w="8365" w:type="dxa"/>
            <w:vAlign w:val="center"/>
          </w:tcPr>
          <w:p w14:paraId="4EF8F429" w14:textId="77777777" w:rsidR="00E36B31" w:rsidRDefault="00E36B31" w:rsidP="00256084">
            <w:hyperlink r:id="rId21" w:history="1">
              <w:r>
                <w:rPr>
                  <w:rStyle w:val="Hyperlink"/>
                  <w:rFonts w:ascii="Aptos Narrow" w:hAnsi="Aptos Narrow"/>
                  <w:sz w:val="22"/>
                  <w:szCs w:val="22"/>
                </w:rPr>
                <w:t xml:space="preserve">https://sentarahealthplans.com/company/policies/prior-authorization-metrics </w:t>
              </w:r>
            </w:hyperlink>
          </w:p>
        </w:tc>
      </w:tr>
      <w:tr w:rsidR="00E36B31" w14:paraId="2E374ADC" w14:textId="77777777" w:rsidTr="00256084">
        <w:tc>
          <w:tcPr>
            <w:tcW w:w="985" w:type="dxa"/>
            <w:vAlign w:val="bottom"/>
          </w:tcPr>
          <w:p w14:paraId="1AAFAB5F" w14:textId="77777777" w:rsidR="00E36B31" w:rsidRPr="009B51BD" w:rsidRDefault="00E36B31" w:rsidP="00256084">
            <w:pPr>
              <w:rPr>
                <w:b/>
                <w:bCs/>
              </w:rPr>
            </w:pPr>
            <w:r w:rsidRPr="009B51BD">
              <w:rPr>
                <w:rFonts w:ascii="Aptos Narrow" w:hAnsi="Aptos Narrow"/>
                <w:b/>
                <w:bCs/>
                <w:color w:val="000000"/>
                <w:sz w:val="22"/>
                <w:szCs w:val="22"/>
              </w:rPr>
              <w:t>UHC</w:t>
            </w:r>
          </w:p>
        </w:tc>
        <w:tc>
          <w:tcPr>
            <w:tcW w:w="8365" w:type="dxa"/>
            <w:vAlign w:val="center"/>
          </w:tcPr>
          <w:p w14:paraId="604E12E2" w14:textId="77777777" w:rsidR="00E36B31" w:rsidRPr="009B51BD" w:rsidRDefault="00E36B31" w:rsidP="00256084">
            <w:pPr>
              <w:rPr>
                <w:rFonts w:ascii="Aptos Narrow" w:hAnsi="Aptos Narrow"/>
                <w:color w:val="467886"/>
                <w:sz w:val="22"/>
                <w:szCs w:val="22"/>
                <w:u w:val="single"/>
              </w:rPr>
            </w:pPr>
            <w:hyperlink r:id="rId22" w:history="1">
              <w:r>
                <w:rPr>
                  <w:rStyle w:val="Hyperlink"/>
                  <w:rFonts w:ascii="Aptos Narrow" w:hAnsi="Aptos Narrow"/>
                  <w:sz w:val="22"/>
                  <w:szCs w:val="22"/>
                </w:rPr>
                <w:t>https://www.uhcprovider.com/en/health-plans-by-state/virginia-health-plans/va-comm-plan-home/va-cp-prior-auth.html</w:t>
              </w:r>
            </w:hyperlink>
          </w:p>
        </w:tc>
      </w:tr>
    </w:tbl>
    <w:p w14:paraId="13FFBCDC" w14:textId="77777777" w:rsidR="00E36B31" w:rsidRDefault="00E36B31" w:rsidP="009D56F4">
      <w:pPr>
        <w:rPr>
          <w:b/>
          <w:bCs/>
        </w:rPr>
      </w:pPr>
    </w:p>
    <w:bookmarkEnd w:id="3"/>
    <w:sectPr w:rsidR="00E36B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genhart, Sandra (DMAS)" w:date="2025-12-16T14:29:00Z" w:initials="SD">
    <w:p w14:paraId="401E1A6C" w14:textId="46764C8F" w:rsidR="00C33F55" w:rsidRDefault="00B2530B" w:rsidP="00C33F55">
      <w:pPr>
        <w:pStyle w:val="CommentText"/>
      </w:pPr>
      <w:r>
        <w:rPr>
          <w:rStyle w:val="CommentReference"/>
        </w:rPr>
        <w:annotationRef/>
      </w:r>
      <w:r w:rsidR="00C33F55">
        <w:t>Webmaster - hyperlink PDF directions here</w:t>
      </w:r>
    </w:p>
  </w:comment>
  <w:comment w:id="2" w:author="Dagenhart, Sandra (DMAS)" w:date="2026-03-04T15:00:00Z" w:initials="SD">
    <w:p w14:paraId="23B42AD8" w14:textId="77777777" w:rsidR="00F77F73" w:rsidRDefault="00F77F73" w:rsidP="00F77F73">
      <w:pPr>
        <w:pStyle w:val="CommentText"/>
      </w:pPr>
      <w:r>
        <w:rPr>
          <w:rStyle w:val="CommentReference"/>
        </w:rPr>
        <w:annotationRef/>
      </w:r>
      <w:r>
        <w:t>Webmaster need to link the Annual FFS reporting metrics - PDF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1E1A6C" w15:done="0"/>
  <w15:commentEx w15:paraId="23B42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68DE5D" w16cex:dateUtc="2025-12-16T19:29:00Z"/>
  <w16cex:commentExtensible w16cex:durableId="1AD47488" w16cex:dateUtc="2026-03-04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1E1A6C" w16cid:durableId="3C68DE5D"/>
  <w16cid:commentId w16cid:paraId="23B42AD8" w16cid:durableId="1AD4748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90873"/>
    <w:multiLevelType w:val="hybridMultilevel"/>
    <w:tmpl w:val="9184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251FB"/>
    <w:multiLevelType w:val="hybridMultilevel"/>
    <w:tmpl w:val="A268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82840">
    <w:abstractNumId w:val="1"/>
  </w:num>
  <w:num w:numId="2" w16cid:durableId="4902946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genhart, Sandra (DMAS)">
    <w15:presenceInfo w15:providerId="AD" w15:userId="S::Sandra.Dagenhart@dmas.virginia.gov::0243a96c-2a6a-4e18-b378-7f91383c7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F8"/>
    <w:rsid w:val="000705F1"/>
    <w:rsid w:val="000737F8"/>
    <w:rsid w:val="000A66CD"/>
    <w:rsid w:val="000C00BF"/>
    <w:rsid w:val="00145424"/>
    <w:rsid w:val="001C6553"/>
    <w:rsid w:val="001D107F"/>
    <w:rsid w:val="001D7F8A"/>
    <w:rsid w:val="002A0877"/>
    <w:rsid w:val="00361429"/>
    <w:rsid w:val="00365549"/>
    <w:rsid w:val="003B04B3"/>
    <w:rsid w:val="003D1F21"/>
    <w:rsid w:val="003F05D4"/>
    <w:rsid w:val="00492B7A"/>
    <w:rsid w:val="0053731D"/>
    <w:rsid w:val="00541F48"/>
    <w:rsid w:val="00547191"/>
    <w:rsid w:val="00591B43"/>
    <w:rsid w:val="005A3CF5"/>
    <w:rsid w:val="005B39ED"/>
    <w:rsid w:val="005D03F4"/>
    <w:rsid w:val="00734177"/>
    <w:rsid w:val="007B0153"/>
    <w:rsid w:val="00825EFE"/>
    <w:rsid w:val="008441D0"/>
    <w:rsid w:val="009803B9"/>
    <w:rsid w:val="009B2104"/>
    <w:rsid w:val="009D56F4"/>
    <w:rsid w:val="00A822B3"/>
    <w:rsid w:val="00AE1E7E"/>
    <w:rsid w:val="00B14724"/>
    <w:rsid w:val="00B15CA7"/>
    <w:rsid w:val="00B2530B"/>
    <w:rsid w:val="00B63432"/>
    <w:rsid w:val="00B97142"/>
    <w:rsid w:val="00BA22FD"/>
    <w:rsid w:val="00BD61F2"/>
    <w:rsid w:val="00BF4844"/>
    <w:rsid w:val="00BF7EB2"/>
    <w:rsid w:val="00C318C0"/>
    <w:rsid w:val="00C33F55"/>
    <w:rsid w:val="00C818EE"/>
    <w:rsid w:val="00C963A8"/>
    <w:rsid w:val="00CC445A"/>
    <w:rsid w:val="00D07F94"/>
    <w:rsid w:val="00D42294"/>
    <w:rsid w:val="00D4326D"/>
    <w:rsid w:val="00DC789C"/>
    <w:rsid w:val="00DF7698"/>
    <w:rsid w:val="00E35ECB"/>
    <w:rsid w:val="00E36B31"/>
    <w:rsid w:val="00E72E32"/>
    <w:rsid w:val="00EC1D48"/>
    <w:rsid w:val="00EC3650"/>
    <w:rsid w:val="00EE6479"/>
    <w:rsid w:val="00F3617A"/>
    <w:rsid w:val="00F36E51"/>
    <w:rsid w:val="00F45745"/>
    <w:rsid w:val="00F45F4F"/>
    <w:rsid w:val="00F77F73"/>
    <w:rsid w:val="00F81112"/>
    <w:rsid w:val="00FC6E7D"/>
    <w:rsid w:val="00FE1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6F7A"/>
  <w15:chartTrackingRefBased/>
  <w15:docId w15:val="{ECC689BB-BF74-46D4-BD3F-179D9449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7F8"/>
  </w:style>
  <w:style w:type="paragraph" w:styleId="Heading1">
    <w:name w:val="heading 1"/>
    <w:basedOn w:val="Normal"/>
    <w:next w:val="Normal"/>
    <w:link w:val="Heading1Char"/>
    <w:uiPriority w:val="9"/>
    <w:qFormat/>
    <w:rsid w:val="00073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7F8"/>
    <w:rPr>
      <w:rFonts w:eastAsiaTheme="majorEastAsia" w:cstheme="majorBidi"/>
      <w:color w:val="272727" w:themeColor="text1" w:themeTint="D8"/>
    </w:rPr>
  </w:style>
  <w:style w:type="paragraph" w:styleId="Title">
    <w:name w:val="Title"/>
    <w:basedOn w:val="Normal"/>
    <w:next w:val="Normal"/>
    <w:link w:val="TitleChar"/>
    <w:uiPriority w:val="10"/>
    <w:qFormat/>
    <w:rsid w:val="00073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7F8"/>
    <w:pPr>
      <w:spacing w:before="160"/>
      <w:jc w:val="center"/>
    </w:pPr>
    <w:rPr>
      <w:i/>
      <w:iCs/>
      <w:color w:val="404040" w:themeColor="text1" w:themeTint="BF"/>
    </w:rPr>
  </w:style>
  <w:style w:type="character" w:customStyle="1" w:styleId="QuoteChar">
    <w:name w:val="Quote Char"/>
    <w:basedOn w:val="DefaultParagraphFont"/>
    <w:link w:val="Quote"/>
    <w:uiPriority w:val="29"/>
    <w:rsid w:val="000737F8"/>
    <w:rPr>
      <w:i/>
      <w:iCs/>
      <w:color w:val="404040" w:themeColor="text1" w:themeTint="BF"/>
    </w:rPr>
  </w:style>
  <w:style w:type="paragraph" w:styleId="ListParagraph">
    <w:name w:val="List Paragraph"/>
    <w:basedOn w:val="Normal"/>
    <w:uiPriority w:val="34"/>
    <w:qFormat/>
    <w:rsid w:val="000737F8"/>
    <w:pPr>
      <w:ind w:left="720"/>
      <w:contextualSpacing/>
    </w:pPr>
  </w:style>
  <w:style w:type="character" w:styleId="IntenseEmphasis">
    <w:name w:val="Intense Emphasis"/>
    <w:basedOn w:val="DefaultParagraphFont"/>
    <w:uiPriority w:val="21"/>
    <w:qFormat/>
    <w:rsid w:val="000737F8"/>
    <w:rPr>
      <w:i/>
      <w:iCs/>
      <w:color w:val="0F4761" w:themeColor="accent1" w:themeShade="BF"/>
    </w:rPr>
  </w:style>
  <w:style w:type="paragraph" w:styleId="IntenseQuote">
    <w:name w:val="Intense Quote"/>
    <w:basedOn w:val="Normal"/>
    <w:next w:val="Normal"/>
    <w:link w:val="IntenseQuoteChar"/>
    <w:uiPriority w:val="30"/>
    <w:qFormat/>
    <w:rsid w:val="00073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7F8"/>
    <w:rPr>
      <w:i/>
      <w:iCs/>
      <w:color w:val="0F4761" w:themeColor="accent1" w:themeShade="BF"/>
    </w:rPr>
  </w:style>
  <w:style w:type="character" w:styleId="IntenseReference">
    <w:name w:val="Intense Reference"/>
    <w:basedOn w:val="DefaultParagraphFont"/>
    <w:uiPriority w:val="32"/>
    <w:qFormat/>
    <w:rsid w:val="000737F8"/>
    <w:rPr>
      <w:b/>
      <w:bCs/>
      <w:smallCaps/>
      <w:color w:val="0F4761" w:themeColor="accent1" w:themeShade="BF"/>
      <w:spacing w:val="5"/>
    </w:rPr>
  </w:style>
  <w:style w:type="character" w:styleId="Hyperlink">
    <w:name w:val="Hyperlink"/>
    <w:basedOn w:val="DefaultParagraphFont"/>
    <w:uiPriority w:val="99"/>
    <w:unhideWhenUsed/>
    <w:rsid w:val="000737F8"/>
    <w:rPr>
      <w:color w:val="467886" w:themeColor="hyperlink"/>
      <w:u w:val="single"/>
    </w:rPr>
  </w:style>
  <w:style w:type="character" w:styleId="UnresolvedMention">
    <w:name w:val="Unresolved Mention"/>
    <w:basedOn w:val="DefaultParagraphFont"/>
    <w:uiPriority w:val="99"/>
    <w:semiHidden/>
    <w:unhideWhenUsed/>
    <w:rsid w:val="000737F8"/>
    <w:rPr>
      <w:color w:val="605E5C"/>
      <w:shd w:val="clear" w:color="auto" w:fill="E1DFDD"/>
    </w:rPr>
  </w:style>
  <w:style w:type="table" w:styleId="TableGrid">
    <w:name w:val="Table Grid"/>
    <w:basedOn w:val="TableNormal"/>
    <w:uiPriority w:val="39"/>
    <w:rsid w:val="0036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5549"/>
    <w:pPr>
      <w:spacing w:after="0" w:line="240" w:lineRule="auto"/>
    </w:pPr>
  </w:style>
  <w:style w:type="character" w:styleId="FollowedHyperlink">
    <w:name w:val="FollowedHyperlink"/>
    <w:basedOn w:val="DefaultParagraphFont"/>
    <w:uiPriority w:val="99"/>
    <w:semiHidden/>
    <w:unhideWhenUsed/>
    <w:rsid w:val="00D42294"/>
    <w:rPr>
      <w:color w:val="96607D" w:themeColor="followedHyperlink"/>
      <w:u w:val="single"/>
    </w:rPr>
  </w:style>
  <w:style w:type="character" w:styleId="CommentReference">
    <w:name w:val="annotation reference"/>
    <w:basedOn w:val="DefaultParagraphFont"/>
    <w:uiPriority w:val="99"/>
    <w:semiHidden/>
    <w:unhideWhenUsed/>
    <w:rsid w:val="00B2530B"/>
    <w:rPr>
      <w:sz w:val="16"/>
      <w:szCs w:val="16"/>
    </w:rPr>
  </w:style>
  <w:style w:type="paragraph" w:styleId="CommentText">
    <w:name w:val="annotation text"/>
    <w:basedOn w:val="Normal"/>
    <w:link w:val="CommentTextChar"/>
    <w:uiPriority w:val="99"/>
    <w:unhideWhenUsed/>
    <w:rsid w:val="00B2530B"/>
    <w:pPr>
      <w:spacing w:line="240" w:lineRule="auto"/>
    </w:pPr>
    <w:rPr>
      <w:sz w:val="20"/>
      <w:szCs w:val="20"/>
    </w:rPr>
  </w:style>
  <w:style w:type="character" w:customStyle="1" w:styleId="CommentTextChar">
    <w:name w:val="Comment Text Char"/>
    <w:basedOn w:val="DefaultParagraphFont"/>
    <w:link w:val="CommentText"/>
    <w:uiPriority w:val="99"/>
    <w:rsid w:val="00B2530B"/>
    <w:rPr>
      <w:sz w:val="20"/>
      <w:szCs w:val="20"/>
    </w:rPr>
  </w:style>
  <w:style w:type="paragraph" w:styleId="CommentSubject">
    <w:name w:val="annotation subject"/>
    <w:basedOn w:val="CommentText"/>
    <w:next w:val="CommentText"/>
    <w:link w:val="CommentSubjectChar"/>
    <w:uiPriority w:val="99"/>
    <w:semiHidden/>
    <w:unhideWhenUsed/>
    <w:rsid w:val="00B2530B"/>
    <w:rPr>
      <w:b/>
      <w:bCs/>
    </w:rPr>
  </w:style>
  <w:style w:type="character" w:customStyle="1" w:styleId="CommentSubjectChar">
    <w:name w:val="Comment Subject Char"/>
    <w:basedOn w:val="CommentTextChar"/>
    <w:link w:val="CommentSubject"/>
    <w:uiPriority w:val="99"/>
    <w:semiHidden/>
    <w:rsid w:val="00B2530B"/>
    <w:rPr>
      <w:b/>
      <w:bCs/>
      <w:sz w:val="20"/>
      <w:szCs w:val="20"/>
    </w:rPr>
  </w:style>
  <w:style w:type="character" w:customStyle="1" w:styleId="cf01">
    <w:name w:val="cf01"/>
    <w:basedOn w:val="DefaultParagraphFont"/>
    <w:rsid w:val="00541F48"/>
    <w:rPr>
      <w:rFonts w:ascii="Segoe UI" w:hAnsi="Segoe UI" w:cs="Segoe UI" w:hint="default"/>
      <w:sz w:val="18"/>
      <w:szCs w:val="18"/>
      <w:shd w:val="clear" w:color="auto" w:fill="FFFFFF"/>
    </w:rPr>
  </w:style>
  <w:style w:type="paragraph" w:styleId="Revision">
    <w:name w:val="Revision"/>
    <w:hidden/>
    <w:uiPriority w:val="99"/>
    <w:semiHidden/>
    <w:rsid w:val="003614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3748">
      <w:bodyDiv w:val="1"/>
      <w:marLeft w:val="0"/>
      <w:marRight w:val="0"/>
      <w:marTop w:val="0"/>
      <w:marBottom w:val="0"/>
      <w:divBdr>
        <w:top w:val="none" w:sz="0" w:space="0" w:color="auto"/>
        <w:left w:val="none" w:sz="0" w:space="0" w:color="auto"/>
        <w:bottom w:val="none" w:sz="0" w:space="0" w:color="auto"/>
        <w:right w:val="none" w:sz="0" w:space="0" w:color="auto"/>
      </w:divBdr>
    </w:div>
    <w:div w:id="63840864">
      <w:bodyDiv w:val="1"/>
      <w:marLeft w:val="0"/>
      <w:marRight w:val="0"/>
      <w:marTop w:val="0"/>
      <w:marBottom w:val="0"/>
      <w:divBdr>
        <w:top w:val="none" w:sz="0" w:space="0" w:color="auto"/>
        <w:left w:val="none" w:sz="0" w:space="0" w:color="auto"/>
        <w:bottom w:val="none" w:sz="0" w:space="0" w:color="auto"/>
        <w:right w:val="none" w:sz="0" w:space="0" w:color="auto"/>
      </w:divBdr>
    </w:div>
    <w:div w:id="86508612">
      <w:bodyDiv w:val="1"/>
      <w:marLeft w:val="0"/>
      <w:marRight w:val="0"/>
      <w:marTop w:val="0"/>
      <w:marBottom w:val="0"/>
      <w:divBdr>
        <w:top w:val="none" w:sz="0" w:space="0" w:color="auto"/>
        <w:left w:val="none" w:sz="0" w:space="0" w:color="auto"/>
        <w:bottom w:val="none" w:sz="0" w:space="0" w:color="auto"/>
        <w:right w:val="none" w:sz="0" w:space="0" w:color="auto"/>
      </w:divBdr>
    </w:div>
    <w:div w:id="272250525">
      <w:bodyDiv w:val="1"/>
      <w:marLeft w:val="0"/>
      <w:marRight w:val="0"/>
      <w:marTop w:val="0"/>
      <w:marBottom w:val="0"/>
      <w:divBdr>
        <w:top w:val="none" w:sz="0" w:space="0" w:color="auto"/>
        <w:left w:val="none" w:sz="0" w:space="0" w:color="auto"/>
        <w:bottom w:val="none" w:sz="0" w:space="0" w:color="auto"/>
        <w:right w:val="none" w:sz="0" w:space="0" w:color="auto"/>
      </w:divBdr>
    </w:div>
    <w:div w:id="341396387">
      <w:bodyDiv w:val="1"/>
      <w:marLeft w:val="0"/>
      <w:marRight w:val="0"/>
      <w:marTop w:val="0"/>
      <w:marBottom w:val="0"/>
      <w:divBdr>
        <w:top w:val="none" w:sz="0" w:space="0" w:color="auto"/>
        <w:left w:val="none" w:sz="0" w:space="0" w:color="auto"/>
        <w:bottom w:val="none" w:sz="0" w:space="0" w:color="auto"/>
        <w:right w:val="none" w:sz="0" w:space="0" w:color="auto"/>
      </w:divBdr>
    </w:div>
    <w:div w:id="387459432">
      <w:bodyDiv w:val="1"/>
      <w:marLeft w:val="0"/>
      <w:marRight w:val="0"/>
      <w:marTop w:val="0"/>
      <w:marBottom w:val="0"/>
      <w:divBdr>
        <w:top w:val="none" w:sz="0" w:space="0" w:color="auto"/>
        <w:left w:val="none" w:sz="0" w:space="0" w:color="auto"/>
        <w:bottom w:val="none" w:sz="0" w:space="0" w:color="auto"/>
        <w:right w:val="none" w:sz="0" w:space="0" w:color="auto"/>
      </w:divBdr>
    </w:div>
    <w:div w:id="531113662">
      <w:bodyDiv w:val="1"/>
      <w:marLeft w:val="0"/>
      <w:marRight w:val="0"/>
      <w:marTop w:val="0"/>
      <w:marBottom w:val="0"/>
      <w:divBdr>
        <w:top w:val="none" w:sz="0" w:space="0" w:color="auto"/>
        <w:left w:val="none" w:sz="0" w:space="0" w:color="auto"/>
        <w:bottom w:val="none" w:sz="0" w:space="0" w:color="auto"/>
        <w:right w:val="none" w:sz="0" w:space="0" w:color="auto"/>
      </w:divBdr>
    </w:div>
    <w:div w:id="735472668">
      <w:bodyDiv w:val="1"/>
      <w:marLeft w:val="0"/>
      <w:marRight w:val="0"/>
      <w:marTop w:val="0"/>
      <w:marBottom w:val="0"/>
      <w:divBdr>
        <w:top w:val="none" w:sz="0" w:space="0" w:color="auto"/>
        <w:left w:val="none" w:sz="0" w:space="0" w:color="auto"/>
        <w:bottom w:val="none" w:sz="0" w:space="0" w:color="auto"/>
        <w:right w:val="none" w:sz="0" w:space="0" w:color="auto"/>
      </w:divBdr>
    </w:div>
    <w:div w:id="771121276">
      <w:bodyDiv w:val="1"/>
      <w:marLeft w:val="0"/>
      <w:marRight w:val="0"/>
      <w:marTop w:val="0"/>
      <w:marBottom w:val="0"/>
      <w:divBdr>
        <w:top w:val="none" w:sz="0" w:space="0" w:color="auto"/>
        <w:left w:val="none" w:sz="0" w:space="0" w:color="auto"/>
        <w:bottom w:val="none" w:sz="0" w:space="0" w:color="auto"/>
        <w:right w:val="none" w:sz="0" w:space="0" w:color="auto"/>
      </w:divBdr>
    </w:div>
    <w:div w:id="1114786562">
      <w:bodyDiv w:val="1"/>
      <w:marLeft w:val="0"/>
      <w:marRight w:val="0"/>
      <w:marTop w:val="0"/>
      <w:marBottom w:val="0"/>
      <w:divBdr>
        <w:top w:val="none" w:sz="0" w:space="0" w:color="auto"/>
        <w:left w:val="none" w:sz="0" w:space="0" w:color="auto"/>
        <w:bottom w:val="none" w:sz="0" w:space="0" w:color="auto"/>
        <w:right w:val="none" w:sz="0" w:space="0" w:color="auto"/>
      </w:divBdr>
    </w:div>
    <w:div w:id="1221017779">
      <w:bodyDiv w:val="1"/>
      <w:marLeft w:val="0"/>
      <w:marRight w:val="0"/>
      <w:marTop w:val="0"/>
      <w:marBottom w:val="0"/>
      <w:divBdr>
        <w:top w:val="none" w:sz="0" w:space="0" w:color="auto"/>
        <w:left w:val="none" w:sz="0" w:space="0" w:color="auto"/>
        <w:bottom w:val="none" w:sz="0" w:space="0" w:color="auto"/>
        <w:right w:val="none" w:sz="0" w:space="0" w:color="auto"/>
      </w:divBdr>
    </w:div>
    <w:div w:id="1531215078">
      <w:bodyDiv w:val="1"/>
      <w:marLeft w:val="0"/>
      <w:marRight w:val="0"/>
      <w:marTop w:val="0"/>
      <w:marBottom w:val="0"/>
      <w:divBdr>
        <w:top w:val="none" w:sz="0" w:space="0" w:color="auto"/>
        <w:left w:val="none" w:sz="0" w:space="0" w:color="auto"/>
        <w:bottom w:val="none" w:sz="0" w:space="0" w:color="auto"/>
        <w:right w:val="none" w:sz="0" w:space="0" w:color="auto"/>
      </w:divBdr>
    </w:div>
    <w:div w:id="1567032205">
      <w:bodyDiv w:val="1"/>
      <w:marLeft w:val="0"/>
      <w:marRight w:val="0"/>
      <w:marTop w:val="0"/>
      <w:marBottom w:val="0"/>
      <w:divBdr>
        <w:top w:val="none" w:sz="0" w:space="0" w:color="auto"/>
        <w:left w:val="none" w:sz="0" w:space="0" w:color="auto"/>
        <w:bottom w:val="none" w:sz="0" w:space="0" w:color="auto"/>
        <w:right w:val="none" w:sz="0" w:space="0" w:color="auto"/>
      </w:divBdr>
    </w:div>
    <w:div w:id="1579903009">
      <w:bodyDiv w:val="1"/>
      <w:marLeft w:val="0"/>
      <w:marRight w:val="0"/>
      <w:marTop w:val="0"/>
      <w:marBottom w:val="0"/>
      <w:divBdr>
        <w:top w:val="none" w:sz="0" w:space="0" w:color="auto"/>
        <w:left w:val="none" w:sz="0" w:space="0" w:color="auto"/>
        <w:bottom w:val="none" w:sz="0" w:space="0" w:color="auto"/>
        <w:right w:val="none" w:sz="0" w:space="0" w:color="auto"/>
      </w:divBdr>
    </w:div>
    <w:div w:id="1648705571">
      <w:bodyDiv w:val="1"/>
      <w:marLeft w:val="0"/>
      <w:marRight w:val="0"/>
      <w:marTop w:val="0"/>
      <w:marBottom w:val="0"/>
      <w:divBdr>
        <w:top w:val="none" w:sz="0" w:space="0" w:color="auto"/>
        <w:left w:val="none" w:sz="0" w:space="0" w:color="auto"/>
        <w:bottom w:val="none" w:sz="0" w:space="0" w:color="auto"/>
        <w:right w:val="none" w:sz="0" w:space="0" w:color="auto"/>
      </w:divBdr>
    </w:div>
    <w:div w:id="21237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vamedicaid.dmas.virginia.gov/sa/faq" TargetMode="External"/><Relationship Id="rId18" Type="http://schemas.openxmlformats.org/officeDocument/2006/relationships/hyperlink" Target="https://www.anthem.com/va/medicaid/prior-authorization-report" TargetMode="External"/><Relationship Id="rId3" Type="http://schemas.openxmlformats.org/officeDocument/2006/relationships/settings" Target="settings.xml"/><Relationship Id="rId21" Type="http://schemas.openxmlformats.org/officeDocument/2006/relationships/hyperlink" Target="https://sentarahealthplans.com/company/policies/prior-authorization-metrics" TargetMode="External"/><Relationship Id="rId7" Type="http://schemas.openxmlformats.org/officeDocument/2006/relationships/comments" Target="comments.xml"/><Relationship Id="rId12" Type="http://schemas.openxmlformats.org/officeDocument/2006/relationships/hyperlink" Target="https://vamedicaid.dmas.virginia.gov/sa/checklists" TargetMode="External"/><Relationship Id="rId17" Type="http://schemas.openxmlformats.org/officeDocument/2006/relationships/hyperlink" Target="https://www.aetnabetterhealth.com/virginia/providers/prior-authorization.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ms.gov/priorities/burden-reduction/overview/interoperability/policies-and-regulations/cms-interoperability-and-prior-authorization-final-rule-cms-0057-f/cms-interoperability-and-prior-authorization-final-rule-cms-0057-f" TargetMode="External"/><Relationship Id="rId20" Type="http://schemas.openxmlformats.org/officeDocument/2006/relationships/hyperlink" Target="https://provider.humana.com/coverage-claims/prior-authorizations/prior-authorization-metrics" TargetMode="External"/><Relationship Id="rId1" Type="http://schemas.openxmlformats.org/officeDocument/2006/relationships/numbering" Target="numbering.xml"/><Relationship Id="rId6" Type="http://schemas.openxmlformats.org/officeDocument/2006/relationships/hyperlink" Target="https://dmas.virginia.gov/for-providers/rates-and-rate-setting/procedure-fee-files-cpt-codes/" TargetMode="External"/><Relationship Id="rId11" Type="http://schemas.openxmlformats.org/officeDocument/2006/relationships/hyperlink" Target="https://vamedicaid.dmas.virginia.gov/sa" TargetMode="External"/><Relationship Id="rId24" Type="http://schemas.microsoft.com/office/2011/relationships/people" Target="people.xml"/><Relationship Id="rId5" Type="http://schemas.openxmlformats.org/officeDocument/2006/relationships/hyperlink" Target="https://www.cms.gov/priorities/burden-reduction/overview/interoperability/policies-and-regulations/cms-interoperability-and-prior-authorization-final-rule-cms-0057-f/cms-interoperability-and-prior-authorization-final-rule-cms-0057-f" TargetMode="External"/><Relationship Id="rId15" Type="http://schemas.openxmlformats.org/officeDocument/2006/relationships/hyperlink" Target="https://vamedicaid.dmas.virginia.gov/sites/default/files/2024-10/DD%20Waiver%20App.%20D%20%28updated%2010.10.24%29_Final.pdf"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www.anthem.com/es/va/medicaid/prior-authorization-repor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dmas.virginia.gov/media/ma4hbdxk/va-cardinal-care-smiles-orm-712024-1.pdf" TargetMode="External"/><Relationship Id="rId22" Type="http://schemas.openxmlformats.org/officeDocument/2006/relationships/hyperlink" Target="https://urldefense.com/v3/__https:/www.uhcprovider.com/en/health-plans-by-state/virginia-health-plans/va-comm-plan-home/va-cp-prior-auth.html__;!!IqUcNYopQPk7!Nl8rb7t_qNJNVPe-A3wYnMcA8Tfes61CJMDKjSYolw1B6BxH0x5is0M3LfYCeT-O-2_T-BB1xZOBubdHMfLlLe1iGxT7EPNDA55e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Dagenhart, Sandra (DMAS)</dc:creator>
  <cp:keywords/>
  <dc:description/>
  <cp:lastModifiedBy>Dagenhart, Sandra (DMAS)</cp:lastModifiedBy>
  <cp:revision>2</cp:revision>
  <dcterms:created xsi:type="dcterms:W3CDTF">2026-03-20T18:42:00Z</dcterms:created>
  <dcterms:modified xsi:type="dcterms:W3CDTF">2026-03-20T18:42:00Z</dcterms:modified>
</cp:coreProperties>
</file>