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  <w:gridCol w:w="7218"/>
      </w:tblGrid>
      <w:tr w:rsidR="00682C2D" w:rsidRPr="00805210" w:rsidTr="00A974E5">
        <w:trPr>
          <w:trHeight w:val="147"/>
        </w:trPr>
        <w:tc>
          <w:tcPr>
            <w:tcW w:w="13338" w:type="dxa"/>
            <w:gridSpan w:val="2"/>
            <w:vAlign w:val="center"/>
          </w:tcPr>
          <w:p w:rsidR="00805210" w:rsidRPr="00805210" w:rsidRDefault="00682C2D" w:rsidP="00DD28C8">
            <w:pPr>
              <w:pStyle w:val="Defaul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05210">
              <w:rPr>
                <w:b/>
                <w:i/>
                <w:sz w:val="28"/>
                <w:szCs w:val="28"/>
              </w:rPr>
              <w:t>Population Criteria and Enrollment</w:t>
            </w:r>
          </w:p>
        </w:tc>
      </w:tr>
      <w:tr w:rsidR="00682C2D" w:rsidTr="00315D1E">
        <w:trPr>
          <w:trHeight w:val="368"/>
        </w:trPr>
        <w:tc>
          <w:tcPr>
            <w:tcW w:w="6120" w:type="dxa"/>
            <w:vAlign w:val="center"/>
          </w:tcPr>
          <w:p w:rsidR="00682C2D" w:rsidRPr="0059578F" w:rsidRDefault="00682C2D" w:rsidP="00315D1E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Geographic Area</w:t>
            </w:r>
          </w:p>
        </w:tc>
        <w:tc>
          <w:tcPr>
            <w:tcW w:w="7218" w:type="dxa"/>
            <w:vAlign w:val="center"/>
          </w:tcPr>
          <w:p w:rsidR="00682C2D" w:rsidRDefault="000C75C3" w:rsidP="00315D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</w:t>
            </w:r>
          </w:p>
        </w:tc>
      </w:tr>
      <w:tr w:rsidR="00682C2D" w:rsidTr="00A974E5">
        <w:trPr>
          <w:trHeight w:val="980"/>
        </w:trPr>
        <w:tc>
          <w:tcPr>
            <w:tcW w:w="6120" w:type="dxa"/>
            <w:vAlign w:val="center"/>
          </w:tcPr>
          <w:p w:rsidR="00682C2D" w:rsidRPr="0059578F" w:rsidRDefault="00682C2D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 xml:space="preserve">Population Criteria </w:t>
            </w:r>
          </w:p>
        </w:tc>
        <w:tc>
          <w:tcPr>
            <w:tcW w:w="7218" w:type="dxa"/>
            <w:vAlign w:val="center"/>
          </w:tcPr>
          <w:p w:rsidR="00BB6557" w:rsidRDefault="00682C2D" w:rsidP="00BB6557">
            <w:pPr>
              <w:pStyle w:val="Default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agreed VAHP/DMAS criteria utilizing diagnosis, </w:t>
            </w:r>
            <w:r w:rsidR="00BB6557">
              <w:rPr>
                <w:sz w:val="22"/>
                <w:szCs w:val="22"/>
              </w:rPr>
              <w:t>pharmaceutical,</w:t>
            </w:r>
            <w:r>
              <w:rPr>
                <w:sz w:val="22"/>
                <w:szCs w:val="22"/>
              </w:rPr>
              <w:t xml:space="preserve"> and utilization screening criteria</w:t>
            </w:r>
          </w:p>
          <w:p w:rsidR="00BB6557" w:rsidRDefault="005D3ED4" w:rsidP="00BB6557">
            <w:pPr>
              <w:pStyle w:val="Default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B6557">
              <w:rPr>
                <w:sz w:val="22"/>
                <w:szCs w:val="22"/>
              </w:rPr>
              <w:t>–75 members at start</w:t>
            </w:r>
          </w:p>
          <w:p w:rsidR="00682C2D" w:rsidRDefault="000C75C3" w:rsidP="00BB6557">
            <w:pPr>
              <w:pStyle w:val="Default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Possible expansion after refinement of </w:t>
            </w:r>
            <w:r w:rsidR="00BB6557">
              <w:rPr>
                <w:sz w:val="22"/>
                <w:szCs w:val="22"/>
              </w:rPr>
              <w:t>program</w:t>
            </w:r>
          </w:p>
        </w:tc>
      </w:tr>
      <w:tr w:rsidR="00682C2D" w:rsidTr="00A974E5">
        <w:trPr>
          <w:trHeight w:val="1030"/>
        </w:trPr>
        <w:tc>
          <w:tcPr>
            <w:tcW w:w="6120" w:type="dxa"/>
            <w:vAlign w:val="center"/>
          </w:tcPr>
          <w:p w:rsidR="00682C2D" w:rsidRPr="0059578F" w:rsidRDefault="00682C2D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Enrollment of Participants</w:t>
            </w:r>
          </w:p>
        </w:tc>
        <w:tc>
          <w:tcPr>
            <w:tcW w:w="7218" w:type="dxa"/>
            <w:vAlign w:val="center"/>
          </w:tcPr>
          <w:p w:rsidR="00E849E3" w:rsidRDefault="00682C2D" w:rsidP="00A974E5">
            <w:pPr>
              <w:pStyle w:val="Default"/>
              <w:numPr>
                <w:ilvl w:val="0"/>
                <w:numId w:val="11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Individuals who meet eligibility criteria</w:t>
            </w:r>
            <w:r w:rsidR="005D3ED4">
              <w:rPr>
                <w:sz w:val="22"/>
                <w:szCs w:val="22"/>
              </w:rPr>
              <w:t xml:space="preserve"> </w:t>
            </w:r>
            <w:r w:rsidR="000C75C3">
              <w:rPr>
                <w:sz w:val="22"/>
                <w:szCs w:val="22"/>
              </w:rPr>
              <w:t>will be reviewed by case manager and case summary presented to supervisor and medical director</w:t>
            </w:r>
            <w:r w:rsidR="00BB6557">
              <w:rPr>
                <w:sz w:val="22"/>
                <w:szCs w:val="22"/>
              </w:rPr>
              <w:t xml:space="preserve">. </w:t>
            </w:r>
            <w:r w:rsidR="000C75C3">
              <w:rPr>
                <w:sz w:val="22"/>
                <w:szCs w:val="22"/>
              </w:rPr>
              <w:t xml:space="preserve">After approval of medical </w:t>
            </w:r>
            <w:r w:rsidR="00BB6557">
              <w:rPr>
                <w:sz w:val="22"/>
                <w:szCs w:val="22"/>
              </w:rPr>
              <w:t>director,</w:t>
            </w:r>
            <w:r w:rsidR="000C75C3">
              <w:rPr>
                <w:sz w:val="22"/>
                <w:szCs w:val="22"/>
              </w:rPr>
              <w:t xml:space="preserve"> individuals will be </w:t>
            </w:r>
            <w:r>
              <w:rPr>
                <w:sz w:val="22"/>
                <w:szCs w:val="22"/>
              </w:rPr>
              <w:t xml:space="preserve">assigned to the </w:t>
            </w:r>
            <w:r w:rsidR="006C4AA9">
              <w:rPr>
                <w:sz w:val="22"/>
                <w:szCs w:val="22"/>
              </w:rPr>
              <w:t>Behavioral Health Home provider.</w:t>
            </w:r>
          </w:p>
          <w:p w:rsidR="002B79AA" w:rsidRDefault="005D3ED4" w:rsidP="00A974E5">
            <w:pPr>
              <w:pStyle w:val="Default"/>
              <w:numPr>
                <w:ilvl w:val="0"/>
                <w:numId w:val="11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82C2D">
              <w:rPr>
                <w:sz w:val="22"/>
                <w:szCs w:val="22"/>
              </w:rPr>
              <w:t xml:space="preserve">ndividuals will </w:t>
            </w:r>
            <w:r>
              <w:rPr>
                <w:sz w:val="22"/>
                <w:szCs w:val="22"/>
              </w:rPr>
              <w:t>not</w:t>
            </w:r>
            <w:r w:rsidR="000C75C3">
              <w:rPr>
                <w:sz w:val="22"/>
                <w:szCs w:val="22"/>
              </w:rPr>
              <w:t>, in general,</w:t>
            </w:r>
            <w:r>
              <w:rPr>
                <w:sz w:val="22"/>
                <w:szCs w:val="22"/>
              </w:rPr>
              <w:t xml:space="preserve"> </w:t>
            </w:r>
            <w:r w:rsidR="00682C2D">
              <w:rPr>
                <w:sz w:val="22"/>
                <w:szCs w:val="22"/>
              </w:rPr>
              <w:t>have the o</w:t>
            </w:r>
            <w:r>
              <w:rPr>
                <w:sz w:val="22"/>
                <w:szCs w:val="22"/>
              </w:rPr>
              <w:t>pportunity t</w:t>
            </w:r>
            <w:r w:rsidR="00682C2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o</w:t>
            </w:r>
            <w:r w:rsidR="00682C2D">
              <w:rPr>
                <w:sz w:val="22"/>
                <w:szCs w:val="22"/>
              </w:rPr>
              <w:t>pt out of the</w:t>
            </w:r>
            <w:r>
              <w:rPr>
                <w:sz w:val="22"/>
                <w:szCs w:val="22"/>
              </w:rPr>
              <w:t xml:space="preserve"> Behavioral Health Home p</w:t>
            </w:r>
            <w:r w:rsidR="00BB6557">
              <w:rPr>
                <w:sz w:val="22"/>
                <w:szCs w:val="22"/>
              </w:rPr>
              <w:t>ilot</w:t>
            </w:r>
            <w:r>
              <w:rPr>
                <w:sz w:val="22"/>
                <w:szCs w:val="22"/>
              </w:rPr>
              <w:t xml:space="preserve">. </w:t>
            </w:r>
            <w:r w:rsidR="000C75C3">
              <w:rPr>
                <w:sz w:val="22"/>
                <w:szCs w:val="22"/>
              </w:rPr>
              <w:t>Special cases will be reviewed by the Medical Director for approval.</w:t>
            </w:r>
          </w:p>
          <w:p w:rsidR="00E849E3" w:rsidRDefault="002B79AA" w:rsidP="00A974E5">
            <w:pPr>
              <w:pStyle w:val="Default"/>
              <w:numPr>
                <w:ilvl w:val="0"/>
                <w:numId w:val="11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with comorbid physical and mental illness represent a wide spectrum from primarily physical illness with very little BH issues, to severe mental health issues and little physical medical illness. Some members wi</w:t>
            </w:r>
            <w:r w:rsidR="00BB6557">
              <w:rPr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 have a combination of SMI and serious complex medical conditions.</w:t>
            </w:r>
          </w:p>
          <w:p w:rsidR="002B79AA" w:rsidRDefault="002B79AA" w:rsidP="00BB6557">
            <w:pPr>
              <w:pStyle w:val="Default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Depending on the degree of medical and mental health </w:t>
            </w:r>
            <w:r w:rsidR="00BB6557">
              <w:rPr>
                <w:sz w:val="22"/>
                <w:szCs w:val="22"/>
              </w:rPr>
              <w:t>issues,</w:t>
            </w:r>
            <w:r>
              <w:rPr>
                <w:sz w:val="22"/>
                <w:szCs w:val="22"/>
              </w:rPr>
              <w:t xml:space="preserve"> the member may be assigned to either the VCU CAHM or the RBHA centers as their primary </w:t>
            </w:r>
            <w:r w:rsidR="00BB6557">
              <w:rPr>
                <w:sz w:val="22"/>
                <w:szCs w:val="22"/>
              </w:rPr>
              <w:t xml:space="preserve">Behavioral </w:t>
            </w:r>
            <w:r>
              <w:rPr>
                <w:sz w:val="22"/>
                <w:szCs w:val="22"/>
              </w:rPr>
              <w:t xml:space="preserve">Health Home provider. Both VCU CAHM and the RBHA will coordinate with the other center professionals as </w:t>
            </w:r>
            <w:r w:rsidR="00E849E3">
              <w:rPr>
                <w:sz w:val="22"/>
                <w:szCs w:val="22"/>
              </w:rPr>
              <w:t xml:space="preserve">needed to optimize the members overall </w:t>
            </w:r>
            <w:r w:rsidR="00BB6557">
              <w:rPr>
                <w:sz w:val="22"/>
                <w:szCs w:val="22"/>
              </w:rPr>
              <w:t>well-being</w:t>
            </w:r>
            <w:r w:rsidR="00E849E3">
              <w:rPr>
                <w:sz w:val="22"/>
                <w:szCs w:val="22"/>
              </w:rPr>
              <w:t>.</w:t>
            </w:r>
          </w:p>
        </w:tc>
      </w:tr>
      <w:tr w:rsidR="00682C2D" w:rsidTr="00A974E5">
        <w:trPr>
          <w:trHeight w:val="147"/>
        </w:trPr>
        <w:tc>
          <w:tcPr>
            <w:tcW w:w="13338" w:type="dxa"/>
            <w:gridSpan w:val="2"/>
            <w:vAlign w:val="center"/>
          </w:tcPr>
          <w:p w:rsidR="00805210" w:rsidRPr="0059578F" w:rsidRDefault="00682C2D" w:rsidP="00DD28C8">
            <w:pPr>
              <w:pStyle w:val="Default"/>
              <w:rPr>
                <w:b/>
                <w:sz w:val="22"/>
                <w:szCs w:val="22"/>
              </w:rPr>
            </w:pPr>
            <w:r w:rsidRPr="00805210">
              <w:rPr>
                <w:b/>
                <w:i/>
                <w:sz w:val="28"/>
                <w:szCs w:val="28"/>
              </w:rPr>
              <w:t>Provider Requirements</w:t>
            </w:r>
          </w:p>
        </w:tc>
      </w:tr>
      <w:tr w:rsidR="00682C2D" w:rsidTr="00A974E5">
        <w:trPr>
          <w:trHeight w:val="159"/>
        </w:trPr>
        <w:tc>
          <w:tcPr>
            <w:tcW w:w="6120" w:type="dxa"/>
            <w:vAlign w:val="center"/>
          </w:tcPr>
          <w:p w:rsidR="00682C2D" w:rsidRPr="0059578F" w:rsidRDefault="00682C2D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 xml:space="preserve">Provider Infrastructure 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682C2D" w:rsidRDefault="00682C2D" w:rsidP="00DD28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Providers </w:t>
            </w:r>
          </w:p>
        </w:tc>
      </w:tr>
      <w:tr w:rsidR="00682C2D" w:rsidTr="00315D1E">
        <w:trPr>
          <w:trHeight w:val="259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682C2D" w:rsidRPr="0059578F" w:rsidRDefault="00682C2D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Types of Providers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D" w:rsidRDefault="00052D22" w:rsidP="00A974E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Community Service Board</w:t>
            </w:r>
            <w:r w:rsidR="005D3E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Local Physicians and Hospitals, and Mental Health Providers.</w:t>
            </w:r>
          </w:p>
        </w:tc>
      </w:tr>
      <w:tr w:rsidR="0064258D" w:rsidRPr="00671D5B" w:rsidTr="00A974E5">
        <w:trPr>
          <w:trHeight w:val="332"/>
        </w:trPr>
        <w:tc>
          <w:tcPr>
            <w:tcW w:w="6120" w:type="dxa"/>
            <w:vAlign w:val="center"/>
          </w:tcPr>
          <w:p w:rsidR="0064258D" w:rsidRPr="0059578F" w:rsidRDefault="0064258D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Provider Partners</w:t>
            </w:r>
          </w:p>
        </w:tc>
        <w:tc>
          <w:tcPr>
            <w:tcW w:w="7218" w:type="dxa"/>
            <w:tcBorders>
              <w:top w:val="single" w:sz="4" w:space="0" w:color="auto"/>
            </w:tcBorders>
            <w:vAlign w:val="center"/>
          </w:tcPr>
          <w:p w:rsidR="0064258D" w:rsidRPr="00671D5B" w:rsidRDefault="0064258D" w:rsidP="00BB6557">
            <w:pPr>
              <w:pStyle w:val="Default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Provider Partne</w:t>
            </w:r>
            <w:r w:rsidR="00704F2A">
              <w:rPr>
                <w:sz w:val="22"/>
                <w:szCs w:val="22"/>
              </w:rPr>
              <w:t>rs will be:</w:t>
            </w:r>
          </w:p>
          <w:p w:rsidR="00704F2A" w:rsidRDefault="00704F2A" w:rsidP="00EF109A">
            <w:pPr>
              <w:pStyle w:val="Default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704F2A">
              <w:rPr>
                <w:sz w:val="22"/>
                <w:szCs w:val="22"/>
              </w:rPr>
              <w:t>Richmond Behavioral Health Authority</w:t>
            </w:r>
            <w:r w:rsidR="002B79AA">
              <w:rPr>
                <w:sz w:val="22"/>
                <w:szCs w:val="22"/>
              </w:rPr>
              <w:t xml:space="preserve"> (RBHA)</w:t>
            </w:r>
          </w:p>
          <w:p w:rsidR="0064258D" w:rsidRPr="00E849E3" w:rsidRDefault="00052D22" w:rsidP="00EF109A">
            <w:pPr>
              <w:pStyle w:val="Default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VCU Center for Advanced Health Management (CAHM)</w:t>
            </w:r>
            <w:r w:rsidR="00704F2A">
              <w:rPr>
                <w:sz w:val="22"/>
                <w:szCs w:val="22"/>
              </w:rPr>
              <w:t xml:space="preserve"> - </w:t>
            </w:r>
            <w:r w:rsidR="00704F2A" w:rsidRPr="00671D5B">
              <w:rPr>
                <w:sz w:val="22"/>
                <w:szCs w:val="22"/>
              </w:rPr>
              <w:t>Richmond</w:t>
            </w:r>
          </w:p>
        </w:tc>
      </w:tr>
      <w:tr w:rsidR="00BB6557" w:rsidTr="00A974E5">
        <w:trPr>
          <w:trHeight w:val="147"/>
        </w:trPr>
        <w:tc>
          <w:tcPr>
            <w:tcW w:w="13338" w:type="dxa"/>
            <w:gridSpan w:val="2"/>
            <w:vAlign w:val="center"/>
          </w:tcPr>
          <w:p w:rsidR="00BB6557" w:rsidRPr="0059578F" w:rsidRDefault="00BB6557" w:rsidP="00A8568D">
            <w:pPr>
              <w:pStyle w:val="Default"/>
              <w:rPr>
                <w:b/>
                <w:sz w:val="22"/>
                <w:szCs w:val="22"/>
              </w:rPr>
            </w:pPr>
            <w:r w:rsidRPr="00805210">
              <w:rPr>
                <w:b/>
                <w:i/>
                <w:sz w:val="28"/>
                <w:szCs w:val="28"/>
              </w:rPr>
              <w:lastRenderedPageBreak/>
              <w:t>Provider Requirements</w:t>
            </w:r>
            <w:r>
              <w:rPr>
                <w:b/>
                <w:i/>
                <w:sz w:val="28"/>
                <w:szCs w:val="28"/>
              </w:rPr>
              <w:t xml:space="preserve"> cont.</w:t>
            </w:r>
          </w:p>
        </w:tc>
      </w:tr>
      <w:tr w:rsidR="00F71870" w:rsidRPr="00671D5B" w:rsidTr="00A974E5">
        <w:trPr>
          <w:trHeight w:val="103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F633E" w:rsidRPr="00671D5B" w:rsidRDefault="00F71870" w:rsidP="00BB6557">
            <w:pPr>
              <w:pStyle w:val="Default"/>
              <w:ind w:left="360"/>
              <w:rPr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Provider Standards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F71870" w:rsidRDefault="00F71870" w:rsidP="00EF10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behavioral health homes will be required to meet the following conditions, which may be amended from time-to-time as necessary and appropriate: 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all applicabl</w:t>
            </w:r>
            <w:r w:rsidR="00A974E5">
              <w:rPr>
                <w:sz w:val="22"/>
                <w:szCs w:val="22"/>
              </w:rPr>
              <w:t>e state licensure requirements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capacity to serve additional individuals who are eligible for behavioral health home services </w:t>
            </w:r>
            <w:r w:rsidR="00A974E5">
              <w:rPr>
                <w:sz w:val="22"/>
                <w:szCs w:val="22"/>
              </w:rPr>
              <w:t>in the designated service area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access requirements including enrollee access to the health home team and 24/7 access to crisis interven</w:t>
            </w:r>
            <w:r w:rsidR="00A974E5">
              <w:rPr>
                <w:sz w:val="22"/>
                <w:szCs w:val="22"/>
              </w:rPr>
              <w:t>tion and other needed services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standardized assessment and complete status reports to document enrollees’ living arrangement, employment, education, leg</w:t>
            </w:r>
            <w:r w:rsidR="00A974E5">
              <w:rPr>
                <w:sz w:val="22"/>
                <w:szCs w:val="22"/>
              </w:rPr>
              <w:t>al, entitlement, custody, etc.</w:t>
            </w:r>
          </w:p>
          <w:p w:rsidR="00BB60F8" w:rsidRPr="00BB60F8" w:rsidRDefault="00C05FE3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strong, engaged leadership committed and capable of leading the provider through the transformation process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maintain a single person-centered</w:t>
            </w:r>
            <w:r w:rsidR="006C4AA9">
              <w:rPr>
                <w:sz w:val="22"/>
                <w:szCs w:val="22"/>
              </w:rPr>
              <w:t xml:space="preserve"> care plan that coordinates </w:t>
            </w:r>
            <w:r>
              <w:rPr>
                <w:sz w:val="22"/>
                <w:szCs w:val="22"/>
              </w:rPr>
              <w:t xml:space="preserve">and integrates all behavioral health, primary care, and other needed services and supports with documentation to demonstrate that behavioral health home services are being delivered in accordance with </w:t>
            </w:r>
            <w:r w:rsidR="00A974E5">
              <w:rPr>
                <w:sz w:val="22"/>
                <w:szCs w:val="22"/>
              </w:rPr>
              <w:t>program rules and requirements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wellness interventions as indicated bas</w:t>
            </w:r>
            <w:r w:rsidR="00A974E5">
              <w:rPr>
                <w:sz w:val="22"/>
                <w:szCs w:val="22"/>
              </w:rPr>
              <w:t>ed on enrollees’ level of risk</w:t>
            </w:r>
          </w:p>
          <w:p w:rsidR="00F71870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 to convene regular documented behavioral health home team </w:t>
            </w:r>
            <w:r w:rsidR="00A974E5">
              <w:rPr>
                <w:sz w:val="22"/>
                <w:szCs w:val="22"/>
              </w:rPr>
              <w:t>meetings for case consultation.</w:t>
            </w:r>
          </w:p>
          <w:p w:rsidR="00DD28C8" w:rsidRDefault="00F71870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a comprehensive data collection system </w:t>
            </w:r>
            <w:r w:rsidR="00A974E5">
              <w:rPr>
                <w:sz w:val="22"/>
                <w:szCs w:val="22"/>
              </w:rPr>
              <w:t>and Electronic Medical Record</w:t>
            </w:r>
          </w:p>
          <w:p w:rsidR="00F71870" w:rsidRDefault="00F71870" w:rsidP="00EF109A">
            <w:pPr>
              <w:pStyle w:val="Default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the capacity to collect and report data in the form and manner specified by </w:t>
            </w:r>
            <w:r w:rsidR="00D13440">
              <w:rPr>
                <w:sz w:val="22"/>
                <w:szCs w:val="22"/>
              </w:rPr>
              <w:t>CoventryCares</w:t>
            </w:r>
          </w:p>
        </w:tc>
      </w:tr>
      <w:tr w:rsidR="00805210" w:rsidRPr="00671D5B" w:rsidTr="00A974E5">
        <w:trPr>
          <w:trHeight w:val="242"/>
        </w:trPr>
        <w:tc>
          <w:tcPr>
            <w:tcW w:w="6120" w:type="dxa"/>
            <w:tcBorders>
              <w:right w:val="nil"/>
            </w:tcBorders>
            <w:vAlign w:val="center"/>
          </w:tcPr>
          <w:p w:rsidR="008E726A" w:rsidRPr="00671D5B" w:rsidRDefault="00805210" w:rsidP="00DD28C8">
            <w:pPr>
              <w:pStyle w:val="Default"/>
              <w:rPr>
                <w:sz w:val="22"/>
                <w:szCs w:val="22"/>
              </w:rPr>
            </w:pPr>
            <w:r w:rsidRPr="00805210">
              <w:rPr>
                <w:b/>
                <w:i/>
                <w:sz w:val="28"/>
                <w:szCs w:val="28"/>
              </w:rPr>
              <w:t>Health Home Service Delivery System</w:t>
            </w:r>
          </w:p>
        </w:tc>
        <w:tc>
          <w:tcPr>
            <w:tcW w:w="7218" w:type="dxa"/>
            <w:tcBorders>
              <w:left w:val="nil"/>
            </w:tcBorders>
            <w:vAlign w:val="center"/>
          </w:tcPr>
          <w:p w:rsidR="00805210" w:rsidRDefault="00805210" w:rsidP="00DD28C8">
            <w:pPr>
              <w:pStyle w:val="Default"/>
              <w:rPr>
                <w:sz w:val="22"/>
                <w:szCs w:val="22"/>
              </w:rPr>
            </w:pPr>
          </w:p>
        </w:tc>
      </w:tr>
      <w:tr w:rsidR="00F71870" w:rsidRPr="00671D5B" w:rsidTr="00A974E5">
        <w:trPr>
          <w:trHeight w:val="107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71870" w:rsidRPr="0059578F" w:rsidRDefault="00F71870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 xml:space="preserve">Type of Service Delivery System 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EF109A" w:rsidRDefault="00C57012" w:rsidP="00EF10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program w</w:t>
            </w:r>
            <w:r w:rsidR="00BB60F8">
              <w:rPr>
                <w:sz w:val="22"/>
                <w:szCs w:val="22"/>
              </w:rPr>
              <w:t>ill be a hybrid of the In-house / Co-located P</w:t>
            </w:r>
            <w:r>
              <w:rPr>
                <w:sz w:val="22"/>
                <w:szCs w:val="22"/>
              </w:rPr>
              <w:t xml:space="preserve">artnership and </w:t>
            </w:r>
            <w:r w:rsidRPr="0060003F">
              <w:rPr>
                <w:sz w:val="22"/>
                <w:szCs w:val="22"/>
              </w:rPr>
              <w:t>Facilitated Referral Model</w:t>
            </w:r>
            <w:r>
              <w:rPr>
                <w:sz w:val="22"/>
                <w:szCs w:val="22"/>
              </w:rPr>
              <w:t>. Our goal is to keep the majority of care within the two listed provider partners to facilitate integrated and coordinated care and effective communications and collaboration.</w:t>
            </w:r>
          </w:p>
        </w:tc>
      </w:tr>
    </w:tbl>
    <w:p w:rsidR="00A974E5" w:rsidRDefault="00A974E5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  <w:gridCol w:w="7218"/>
      </w:tblGrid>
      <w:tr w:rsidR="00805210" w:rsidRPr="00671D5B" w:rsidTr="00EF109A">
        <w:trPr>
          <w:trHeight w:val="287"/>
        </w:trPr>
        <w:tc>
          <w:tcPr>
            <w:tcW w:w="6120" w:type="dxa"/>
            <w:tcBorders>
              <w:right w:val="nil"/>
            </w:tcBorders>
            <w:vAlign w:val="center"/>
          </w:tcPr>
          <w:p w:rsidR="00805210" w:rsidRPr="00805210" w:rsidRDefault="00805210" w:rsidP="00DD28C8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5210">
              <w:rPr>
                <w:b/>
                <w:i/>
                <w:sz w:val="28"/>
                <w:szCs w:val="28"/>
              </w:rPr>
              <w:lastRenderedPageBreak/>
              <w:t xml:space="preserve">Payment Methodology </w:t>
            </w:r>
          </w:p>
        </w:tc>
        <w:tc>
          <w:tcPr>
            <w:tcW w:w="7218" w:type="dxa"/>
            <w:tcBorders>
              <w:left w:val="nil"/>
            </w:tcBorders>
            <w:vAlign w:val="center"/>
          </w:tcPr>
          <w:p w:rsidR="00805210" w:rsidRDefault="00805210" w:rsidP="00DD28C8">
            <w:pPr>
              <w:pStyle w:val="Default"/>
              <w:rPr>
                <w:sz w:val="22"/>
                <w:szCs w:val="22"/>
              </w:rPr>
            </w:pPr>
          </w:p>
        </w:tc>
      </w:tr>
      <w:tr w:rsidR="00F71870" w:rsidRPr="00671D5B" w:rsidTr="00EF109A">
        <w:trPr>
          <w:trHeight w:val="78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71870" w:rsidRPr="00671D5B" w:rsidRDefault="00F71870" w:rsidP="00DD28C8">
            <w:pPr>
              <w:pStyle w:val="Default"/>
              <w:ind w:left="360"/>
              <w:rPr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Type of Payment Methodology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5A69E4" w:rsidRDefault="007B31C5" w:rsidP="00BB6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FFS, with the </w:t>
            </w:r>
            <w:r w:rsidR="00BB6557">
              <w:rPr>
                <w:sz w:val="22"/>
                <w:szCs w:val="22"/>
              </w:rPr>
              <w:t xml:space="preserve">possible </w:t>
            </w:r>
            <w:r>
              <w:rPr>
                <w:sz w:val="22"/>
                <w:szCs w:val="22"/>
              </w:rPr>
              <w:t>addition of a</w:t>
            </w:r>
            <w:r w:rsidR="00BB6557">
              <w:rPr>
                <w:sz w:val="22"/>
                <w:szCs w:val="22"/>
              </w:rPr>
              <w:t>n</w:t>
            </w:r>
            <w:r w:rsidR="00F71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enhanced </w:t>
            </w:r>
            <w:r w:rsidR="00F71870">
              <w:rPr>
                <w:sz w:val="22"/>
                <w:szCs w:val="22"/>
              </w:rPr>
              <w:t>case management fee per enrolled member.</w:t>
            </w:r>
            <w:r>
              <w:rPr>
                <w:sz w:val="22"/>
                <w:szCs w:val="22"/>
              </w:rPr>
              <w:t xml:space="preserve"> Possibility of a </w:t>
            </w:r>
            <w:r w:rsidR="005A69E4">
              <w:rPr>
                <w:sz w:val="22"/>
                <w:szCs w:val="22"/>
              </w:rPr>
              <w:t xml:space="preserve">capitated payment or shared savings model in </w:t>
            </w:r>
            <w:r w:rsidR="00BB6557">
              <w:rPr>
                <w:sz w:val="22"/>
                <w:szCs w:val="22"/>
              </w:rPr>
              <w:t xml:space="preserve">the </w:t>
            </w:r>
            <w:r w:rsidR="005A69E4">
              <w:rPr>
                <w:sz w:val="22"/>
                <w:szCs w:val="22"/>
              </w:rPr>
              <w:t>future</w:t>
            </w:r>
          </w:p>
        </w:tc>
      </w:tr>
      <w:tr w:rsidR="00805210" w:rsidRPr="00671D5B" w:rsidTr="00EF109A">
        <w:trPr>
          <w:trHeight w:val="323"/>
        </w:trPr>
        <w:tc>
          <w:tcPr>
            <w:tcW w:w="6120" w:type="dxa"/>
            <w:tcBorders>
              <w:right w:val="nil"/>
            </w:tcBorders>
            <w:vAlign w:val="center"/>
          </w:tcPr>
          <w:p w:rsidR="00805210" w:rsidRPr="00805210" w:rsidRDefault="00BB60F8" w:rsidP="00DD28C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="00805210" w:rsidRPr="00805210">
              <w:rPr>
                <w:b/>
                <w:i/>
                <w:sz w:val="28"/>
                <w:szCs w:val="28"/>
              </w:rPr>
              <w:t>Service Delivery</w:t>
            </w:r>
          </w:p>
        </w:tc>
        <w:tc>
          <w:tcPr>
            <w:tcW w:w="7218" w:type="dxa"/>
            <w:tcBorders>
              <w:left w:val="nil"/>
            </w:tcBorders>
            <w:vAlign w:val="center"/>
          </w:tcPr>
          <w:p w:rsidR="00805210" w:rsidRPr="00EB56D1" w:rsidRDefault="00805210" w:rsidP="00DD28C8">
            <w:pPr>
              <w:pStyle w:val="Default"/>
              <w:rPr>
                <w:sz w:val="22"/>
                <w:szCs w:val="22"/>
              </w:rPr>
            </w:pPr>
          </w:p>
        </w:tc>
      </w:tr>
      <w:tr w:rsidR="00F71870" w:rsidRPr="00671D5B" w:rsidTr="00EF109A">
        <w:trPr>
          <w:trHeight w:val="323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71870" w:rsidRPr="0059578F" w:rsidRDefault="00291B3D" w:rsidP="00DD28C8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 xml:space="preserve">Behavioral Health </w:t>
            </w:r>
            <w:r w:rsidR="00CB65CF" w:rsidRPr="0059578F">
              <w:rPr>
                <w:b/>
                <w:sz w:val="22"/>
                <w:szCs w:val="22"/>
              </w:rPr>
              <w:t xml:space="preserve">Home Services 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015EEC" w:rsidRDefault="00015EEC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Point of Contact / Liaison with MCO Staff</w:t>
            </w:r>
          </w:p>
          <w:p w:rsidR="001D3BA3" w:rsidRPr="00BB60F8" w:rsidRDefault="001D3BA3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BB60F8">
              <w:rPr>
                <w:sz w:val="22"/>
                <w:szCs w:val="22"/>
              </w:rPr>
              <w:t xml:space="preserve">Completing a comprehensive integrated assessment that addresses the </w:t>
            </w:r>
            <w:r w:rsidR="00BB6557">
              <w:rPr>
                <w:sz w:val="22"/>
                <w:szCs w:val="22"/>
              </w:rPr>
              <w:t>member</w:t>
            </w:r>
            <w:r w:rsidRPr="00BB60F8">
              <w:rPr>
                <w:sz w:val="22"/>
                <w:szCs w:val="22"/>
              </w:rPr>
              <w:t>’s needs across all psychosocial domains, including psychiatric, medical, and general health issues</w:t>
            </w:r>
          </w:p>
          <w:p w:rsidR="001D3BA3" w:rsidRPr="00BB60F8" w:rsidRDefault="001D3BA3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BB60F8">
              <w:rPr>
                <w:sz w:val="22"/>
                <w:szCs w:val="22"/>
              </w:rPr>
              <w:t xml:space="preserve">Collaborating with the </w:t>
            </w:r>
            <w:r w:rsidR="00A974E5">
              <w:rPr>
                <w:sz w:val="22"/>
                <w:szCs w:val="22"/>
              </w:rPr>
              <w:t>member</w:t>
            </w:r>
            <w:r w:rsidRPr="00BB60F8">
              <w:rPr>
                <w:sz w:val="22"/>
                <w:szCs w:val="22"/>
              </w:rPr>
              <w:t xml:space="preserve"> to design a person-centered service plan that enables them to actively manage their own medical and psychiatric conditions</w:t>
            </w:r>
          </w:p>
          <w:p w:rsidR="001D3BA3" w:rsidRPr="00BB60F8" w:rsidRDefault="001D3BA3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BB60F8">
              <w:rPr>
                <w:sz w:val="22"/>
                <w:szCs w:val="22"/>
              </w:rPr>
              <w:t xml:space="preserve">Assisting the </w:t>
            </w:r>
            <w:r w:rsidR="00315D1E">
              <w:rPr>
                <w:sz w:val="22"/>
                <w:szCs w:val="22"/>
              </w:rPr>
              <w:t>member</w:t>
            </w:r>
            <w:r w:rsidRPr="00BB60F8">
              <w:rPr>
                <w:sz w:val="22"/>
                <w:szCs w:val="22"/>
              </w:rPr>
              <w:t xml:space="preserve"> to access medical screening services and utilize health education and navigation resources on a regular basis to improve their understanding of their illnesses, and to improve their ability to manage their chronic conditions</w:t>
            </w:r>
          </w:p>
          <w:p w:rsidR="00226239" w:rsidRPr="00BB60F8" w:rsidRDefault="00226239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BB60F8">
              <w:rPr>
                <w:sz w:val="22"/>
                <w:szCs w:val="22"/>
              </w:rPr>
              <w:t xml:space="preserve">Provide aggressive discharge planning to the </w:t>
            </w:r>
            <w:r w:rsidR="00315D1E">
              <w:rPr>
                <w:sz w:val="22"/>
                <w:szCs w:val="22"/>
              </w:rPr>
              <w:t>member</w:t>
            </w:r>
            <w:r w:rsidRPr="00BB60F8">
              <w:rPr>
                <w:sz w:val="22"/>
                <w:szCs w:val="22"/>
              </w:rPr>
              <w:t xml:space="preserve"> in the event that they require hospitalization for medical or psychiatric issues in order to successfully transition them back to the community as quickly as possible</w:t>
            </w:r>
          </w:p>
          <w:p w:rsidR="001D3BA3" w:rsidRPr="00BB60F8" w:rsidRDefault="00226239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BB60F8">
              <w:rPr>
                <w:sz w:val="22"/>
                <w:szCs w:val="22"/>
              </w:rPr>
              <w:t xml:space="preserve">Assist the </w:t>
            </w:r>
            <w:r w:rsidR="00315D1E">
              <w:rPr>
                <w:sz w:val="22"/>
                <w:szCs w:val="22"/>
              </w:rPr>
              <w:t>member</w:t>
            </w:r>
            <w:r w:rsidRPr="00BB60F8">
              <w:rPr>
                <w:sz w:val="22"/>
                <w:szCs w:val="22"/>
              </w:rPr>
              <w:t xml:space="preserve"> to effectively transition to less intensive, lower levels of community-based care/services, as soon as clinically indicated and authorized</w:t>
            </w:r>
          </w:p>
          <w:p w:rsidR="00CB65CF" w:rsidRDefault="00CB65CF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EB56D1">
              <w:rPr>
                <w:sz w:val="22"/>
                <w:szCs w:val="22"/>
              </w:rPr>
              <w:t>Comprehensive Care Management</w:t>
            </w:r>
            <w:r w:rsidR="001F633E">
              <w:rPr>
                <w:sz w:val="22"/>
                <w:szCs w:val="22"/>
              </w:rPr>
              <w:t>/</w:t>
            </w:r>
            <w:r w:rsidRPr="00EB56D1">
              <w:rPr>
                <w:sz w:val="22"/>
                <w:szCs w:val="22"/>
              </w:rPr>
              <w:t>Care Coordination</w:t>
            </w:r>
          </w:p>
          <w:p w:rsidR="00EE4905" w:rsidRPr="00EB56D1" w:rsidRDefault="00EE4905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Enhanced Case Management Services</w:t>
            </w:r>
          </w:p>
          <w:p w:rsidR="00CB65CF" w:rsidRDefault="00CB65CF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EB56D1">
              <w:rPr>
                <w:sz w:val="22"/>
                <w:szCs w:val="22"/>
              </w:rPr>
              <w:t>Health Promotion Services</w:t>
            </w:r>
            <w:r w:rsidR="001F633E">
              <w:rPr>
                <w:sz w:val="22"/>
                <w:szCs w:val="22"/>
              </w:rPr>
              <w:t>/</w:t>
            </w:r>
            <w:r w:rsidRPr="00EB56D1">
              <w:rPr>
                <w:sz w:val="22"/>
                <w:szCs w:val="22"/>
              </w:rPr>
              <w:t xml:space="preserve">Individual and Family Support Services </w:t>
            </w:r>
          </w:p>
          <w:p w:rsidR="00CB65CF" w:rsidRDefault="00CB65CF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EB56D1">
              <w:rPr>
                <w:sz w:val="22"/>
                <w:szCs w:val="22"/>
              </w:rPr>
              <w:t xml:space="preserve">Comprehensive Transitional Care </w:t>
            </w:r>
          </w:p>
          <w:p w:rsidR="00CB65CF" w:rsidRDefault="00CB65CF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 w:rsidRPr="00EB56D1">
              <w:rPr>
                <w:sz w:val="22"/>
                <w:szCs w:val="22"/>
              </w:rPr>
              <w:t xml:space="preserve">Referral to Community and Social Support Services </w:t>
            </w:r>
          </w:p>
          <w:p w:rsidR="00605061" w:rsidRPr="00605061" w:rsidRDefault="00315D1E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H</w:t>
            </w:r>
            <w:r w:rsidR="00D85F6D" w:rsidRPr="00605061">
              <w:rPr>
                <w:sz w:val="22"/>
                <w:szCs w:val="22"/>
              </w:rPr>
              <w:t xml:space="preserve">ealth </w:t>
            </w:r>
            <w:r>
              <w:rPr>
                <w:sz w:val="22"/>
                <w:szCs w:val="22"/>
              </w:rPr>
              <w:t>I</w:t>
            </w:r>
            <w:r w:rsidR="00D85F6D" w:rsidRPr="00605061">
              <w:rPr>
                <w:sz w:val="22"/>
                <w:szCs w:val="22"/>
              </w:rPr>
              <w:t xml:space="preserve">nformation </w:t>
            </w:r>
            <w:r>
              <w:rPr>
                <w:sz w:val="22"/>
                <w:szCs w:val="22"/>
              </w:rPr>
              <w:t>T</w:t>
            </w:r>
            <w:r w:rsidR="00D85F6D" w:rsidRPr="00605061">
              <w:rPr>
                <w:sz w:val="22"/>
                <w:szCs w:val="22"/>
              </w:rPr>
              <w:t>echnology (HIT) to</w:t>
            </w:r>
            <w:r w:rsidR="00C05FE3" w:rsidRPr="00605061">
              <w:rPr>
                <w:sz w:val="22"/>
                <w:szCs w:val="22"/>
              </w:rPr>
              <w:t xml:space="preserve"> </w:t>
            </w:r>
            <w:r w:rsidR="00D85F6D" w:rsidRPr="00605061">
              <w:rPr>
                <w:sz w:val="22"/>
                <w:szCs w:val="22"/>
              </w:rPr>
              <w:t>link services</w:t>
            </w:r>
            <w:r w:rsidR="008A76FE" w:rsidRPr="00605061">
              <w:rPr>
                <w:sz w:val="22"/>
                <w:szCs w:val="22"/>
              </w:rPr>
              <w:t xml:space="preserve"> as available</w:t>
            </w:r>
          </w:p>
          <w:p w:rsidR="001D3BA3" w:rsidRPr="00BC3116" w:rsidRDefault="008A76FE" w:rsidP="00A974E5">
            <w:pPr>
              <w:pStyle w:val="Default"/>
              <w:numPr>
                <w:ilvl w:val="0"/>
                <w:numId w:val="8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Services will </w:t>
            </w:r>
            <w:r w:rsidR="00CB65CF" w:rsidRPr="00EB56D1">
              <w:rPr>
                <w:sz w:val="22"/>
                <w:szCs w:val="22"/>
              </w:rPr>
              <w:t>be coordinated with Magellan</w:t>
            </w:r>
            <w:r>
              <w:rPr>
                <w:sz w:val="22"/>
                <w:szCs w:val="22"/>
              </w:rPr>
              <w:t xml:space="preserve"> Health as necessary</w:t>
            </w:r>
          </w:p>
        </w:tc>
      </w:tr>
    </w:tbl>
    <w:p w:rsidR="00BB60F8" w:rsidRDefault="00BB60F8">
      <w:r>
        <w:br w:type="page"/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7218"/>
      </w:tblGrid>
      <w:tr w:rsidR="00757762" w:rsidRPr="00671D5B" w:rsidTr="00757762">
        <w:trPr>
          <w:trHeight w:val="323"/>
        </w:trPr>
        <w:tc>
          <w:tcPr>
            <w:tcW w:w="6120" w:type="dxa"/>
            <w:tcBorders>
              <w:bottom w:val="single" w:sz="4" w:space="0" w:color="auto"/>
              <w:right w:val="nil"/>
            </w:tcBorders>
            <w:vAlign w:val="center"/>
          </w:tcPr>
          <w:p w:rsidR="00757762" w:rsidRPr="00757762" w:rsidRDefault="00757762" w:rsidP="00757762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5210">
              <w:rPr>
                <w:b/>
                <w:i/>
                <w:sz w:val="28"/>
                <w:szCs w:val="28"/>
              </w:rPr>
              <w:lastRenderedPageBreak/>
              <w:t>Service Delivery</w:t>
            </w:r>
            <w:r>
              <w:rPr>
                <w:b/>
                <w:i/>
                <w:sz w:val="28"/>
                <w:szCs w:val="28"/>
              </w:rPr>
              <w:t xml:space="preserve"> cont.</w:t>
            </w:r>
          </w:p>
        </w:tc>
        <w:tc>
          <w:tcPr>
            <w:tcW w:w="7218" w:type="dxa"/>
            <w:tcBorders>
              <w:left w:val="nil"/>
              <w:bottom w:val="single" w:sz="4" w:space="0" w:color="auto"/>
            </w:tcBorders>
            <w:vAlign w:val="center"/>
          </w:tcPr>
          <w:p w:rsidR="00757762" w:rsidRDefault="00757762" w:rsidP="00DD28C8">
            <w:pPr>
              <w:pStyle w:val="Default"/>
              <w:rPr>
                <w:sz w:val="22"/>
                <w:szCs w:val="22"/>
              </w:rPr>
            </w:pPr>
          </w:p>
        </w:tc>
      </w:tr>
      <w:tr w:rsidR="00291B3D" w:rsidRPr="00671D5B" w:rsidTr="00757762">
        <w:trPr>
          <w:trHeight w:val="323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291B3D" w:rsidRPr="0059578F" w:rsidRDefault="00291B3D" w:rsidP="00C05FE3">
            <w:pPr>
              <w:pStyle w:val="Default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 xml:space="preserve">Managed Care Organization </w:t>
            </w:r>
            <w:r w:rsidR="007F1563" w:rsidRPr="0059578F">
              <w:rPr>
                <w:b/>
                <w:sz w:val="22"/>
                <w:szCs w:val="22"/>
              </w:rPr>
              <w:t xml:space="preserve">(MCO) </w:t>
            </w:r>
            <w:r w:rsidRPr="0059578F">
              <w:rPr>
                <w:b/>
                <w:sz w:val="22"/>
                <w:szCs w:val="22"/>
              </w:rPr>
              <w:t>Services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EE4905" w:rsidRDefault="00E14EFA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Identification of </w:t>
            </w:r>
            <w:r w:rsidR="00EE4905">
              <w:rPr>
                <w:sz w:val="22"/>
                <w:szCs w:val="22"/>
              </w:rPr>
              <w:t xml:space="preserve"> members with SMI</w:t>
            </w:r>
            <w:r>
              <w:rPr>
                <w:sz w:val="22"/>
                <w:szCs w:val="22"/>
              </w:rPr>
              <w:t xml:space="preserve"> assigned to BH home</w:t>
            </w:r>
          </w:p>
          <w:p w:rsidR="00E14EFA" w:rsidRDefault="00E14EFA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Design in conjunction with BH home and Magellan staff</w:t>
            </w:r>
          </w:p>
          <w:p w:rsidR="00AA6DE2" w:rsidRDefault="00EE4905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</w:t>
            </w:r>
            <w:r w:rsidR="00C30127">
              <w:rPr>
                <w:sz w:val="22"/>
                <w:szCs w:val="22"/>
              </w:rPr>
              <w:t>Single Point of Contact / Liaison with BHH Staff</w:t>
            </w:r>
          </w:p>
          <w:p w:rsidR="00AA6DE2" w:rsidRDefault="00AA6DE2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Expedited “Gold Card” prior authorization</w:t>
            </w:r>
          </w:p>
          <w:p w:rsidR="00291B3D" w:rsidRDefault="00C30127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Integrated Medical and Behavioral Health Case Management</w:t>
            </w:r>
          </w:p>
          <w:p w:rsidR="00C30127" w:rsidRDefault="007F1563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Multidis</w:t>
            </w:r>
            <w:r w:rsidR="00015EEC">
              <w:rPr>
                <w:sz w:val="22"/>
                <w:szCs w:val="22"/>
              </w:rPr>
              <w:t>ciplinary Meetings with MCO, health home</w:t>
            </w:r>
            <w:r w:rsidR="00E14EFA">
              <w:rPr>
                <w:sz w:val="22"/>
                <w:szCs w:val="22"/>
              </w:rPr>
              <w:t>(s)</w:t>
            </w:r>
            <w:r w:rsidR="00015EEC">
              <w:rPr>
                <w:sz w:val="22"/>
                <w:szCs w:val="22"/>
              </w:rPr>
              <w:t xml:space="preserve"> and Magellan staff</w:t>
            </w:r>
            <w:r w:rsidR="00EE4905">
              <w:rPr>
                <w:sz w:val="22"/>
                <w:szCs w:val="22"/>
              </w:rPr>
              <w:t xml:space="preserve"> at least monthly</w:t>
            </w:r>
            <w:r w:rsidR="00E14EFA">
              <w:rPr>
                <w:sz w:val="22"/>
                <w:szCs w:val="22"/>
              </w:rPr>
              <w:t xml:space="preserve"> and adhoc as necessary</w:t>
            </w:r>
          </w:p>
          <w:p w:rsidR="00E14EFA" w:rsidRDefault="00E14EFA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Operating Meeting (JOC) at least quarterly to include MCO, BH</w:t>
            </w:r>
            <w:r w:rsidR="00BB6557">
              <w:rPr>
                <w:sz w:val="22"/>
                <w:szCs w:val="22"/>
              </w:rPr>
              <w:t>H and Magellan staff</w:t>
            </w:r>
          </w:p>
          <w:p w:rsidR="00C30127" w:rsidRDefault="00C30127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and Data Analysis</w:t>
            </w:r>
          </w:p>
          <w:p w:rsidR="00EE4905" w:rsidRPr="00BC3116" w:rsidRDefault="00C30127" w:rsidP="00A974E5">
            <w:pPr>
              <w:pStyle w:val="Default"/>
              <w:numPr>
                <w:ilvl w:val="0"/>
                <w:numId w:val="10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 and Quality Oversight</w:t>
            </w:r>
          </w:p>
        </w:tc>
      </w:tr>
      <w:tr w:rsidR="00FA0269" w:rsidRPr="00671D5B" w:rsidTr="00757762">
        <w:trPr>
          <w:trHeight w:val="323"/>
        </w:trPr>
        <w:tc>
          <w:tcPr>
            <w:tcW w:w="6120" w:type="dxa"/>
            <w:tcBorders>
              <w:right w:val="nil"/>
            </w:tcBorders>
          </w:tcPr>
          <w:p w:rsidR="00FA0269" w:rsidRPr="0059578F" w:rsidRDefault="00FA0269" w:rsidP="00EB56D1">
            <w:pPr>
              <w:pStyle w:val="Default"/>
              <w:rPr>
                <w:b/>
                <w:sz w:val="22"/>
                <w:szCs w:val="22"/>
              </w:rPr>
            </w:pPr>
            <w:r w:rsidRPr="00FA0269">
              <w:rPr>
                <w:b/>
                <w:i/>
                <w:sz w:val="28"/>
                <w:szCs w:val="28"/>
              </w:rPr>
              <w:t>Evaluations</w:t>
            </w:r>
          </w:p>
        </w:tc>
        <w:tc>
          <w:tcPr>
            <w:tcW w:w="7218" w:type="dxa"/>
            <w:tcBorders>
              <w:left w:val="nil"/>
            </w:tcBorders>
          </w:tcPr>
          <w:p w:rsidR="00FA0269" w:rsidRPr="00671D5B" w:rsidRDefault="00FA0269" w:rsidP="00671D5B">
            <w:pPr>
              <w:pStyle w:val="Default"/>
              <w:rPr>
                <w:sz w:val="22"/>
                <w:szCs w:val="22"/>
              </w:rPr>
            </w:pPr>
          </w:p>
        </w:tc>
      </w:tr>
      <w:tr w:rsidR="00EB56D1" w:rsidRPr="00671D5B" w:rsidTr="00DD28C8">
        <w:trPr>
          <w:trHeight w:val="323"/>
        </w:trPr>
        <w:tc>
          <w:tcPr>
            <w:tcW w:w="6120" w:type="dxa"/>
            <w:vAlign w:val="center"/>
          </w:tcPr>
          <w:p w:rsidR="00EB56D1" w:rsidRPr="0059578F" w:rsidRDefault="00DE6904" w:rsidP="00C05FE3">
            <w:pPr>
              <w:pStyle w:val="Default"/>
              <w:spacing w:after="120"/>
              <w:ind w:left="360"/>
              <w:rPr>
                <w:b/>
                <w:sz w:val="22"/>
                <w:szCs w:val="22"/>
              </w:rPr>
            </w:pPr>
            <w:r w:rsidRPr="0059578F">
              <w:rPr>
                <w:b/>
                <w:sz w:val="22"/>
                <w:szCs w:val="22"/>
              </w:rPr>
              <w:t>Quality Outcome Goals</w:t>
            </w:r>
          </w:p>
          <w:p w:rsidR="00EB56D1" w:rsidRPr="00671D5B" w:rsidRDefault="00572343" w:rsidP="00A974E5">
            <w:pPr>
              <w:pStyle w:val="Default"/>
              <w:numPr>
                <w:ilvl w:val="0"/>
                <w:numId w:val="12"/>
              </w:numPr>
              <w:spacing w:after="2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Reduc</w:t>
            </w:r>
            <w:r w:rsidR="00EF109A">
              <w:rPr>
                <w:sz w:val="22"/>
                <w:szCs w:val="22"/>
              </w:rPr>
              <w:t>e</w:t>
            </w:r>
            <w:r w:rsidRPr="00671D5B">
              <w:rPr>
                <w:sz w:val="22"/>
                <w:szCs w:val="22"/>
              </w:rPr>
              <w:t xml:space="preserve"> Unnecessary Hospital Admissions and Readmissions</w:t>
            </w:r>
            <w:r w:rsidR="00EB56D1" w:rsidRPr="00671D5B">
              <w:rPr>
                <w:sz w:val="22"/>
                <w:szCs w:val="22"/>
              </w:rPr>
              <w:t xml:space="preserve"> </w:t>
            </w:r>
          </w:p>
          <w:p w:rsidR="00572343" w:rsidRPr="00671D5B" w:rsidRDefault="00572343" w:rsidP="00A974E5">
            <w:pPr>
              <w:pStyle w:val="Default"/>
              <w:numPr>
                <w:ilvl w:val="0"/>
                <w:numId w:val="12"/>
              </w:numPr>
              <w:spacing w:after="2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Reduce Substance Use</w:t>
            </w:r>
          </w:p>
          <w:p w:rsidR="00572343" w:rsidRPr="00671D5B" w:rsidRDefault="00572343" w:rsidP="00A974E5">
            <w:pPr>
              <w:pStyle w:val="Default"/>
              <w:numPr>
                <w:ilvl w:val="0"/>
                <w:numId w:val="12"/>
              </w:numPr>
              <w:spacing w:after="2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Improve Transitions of Care</w:t>
            </w:r>
          </w:p>
          <w:p w:rsidR="00572343" w:rsidRPr="00671D5B" w:rsidRDefault="00572343" w:rsidP="00A974E5">
            <w:pPr>
              <w:pStyle w:val="Default"/>
              <w:numPr>
                <w:ilvl w:val="0"/>
                <w:numId w:val="12"/>
              </w:numPr>
              <w:spacing w:after="2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Improve the Percent of Individuals with SMI who receive preventive care</w:t>
            </w:r>
          </w:p>
          <w:p w:rsidR="00572343" w:rsidRPr="00671D5B" w:rsidRDefault="00572343" w:rsidP="00A974E5">
            <w:pPr>
              <w:pStyle w:val="Default"/>
              <w:numPr>
                <w:ilvl w:val="0"/>
                <w:numId w:val="12"/>
              </w:numPr>
              <w:spacing w:after="2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Improve chronic care delivery for individuals with SMI</w:t>
            </w:r>
          </w:p>
          <w:p w:rsidR="00EB56D1" w:rsidRPr="00671D5B" w:rsidRDefault="00572343" w:rsidP="00A974E5">
            <w:pPr>
              <w:pStyle w:val="Default"/>
              <w:numPr>
                <w:ilvl w:val="0"/>
                <w:numId w:val="12"/>
              </w:numPr>
              <w:spacing w:after="2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Increase satisfaction with care delivery for members with SMI</w:t>
            </w:r>
          </w:p>
        </w:tc>
        <w:tc>
          <w:tcPr>
            <w:tcW w:w="7218" w:type="dxa"/>
            <w:vAlign w:val="center"/>
          </w:tcPr>
          <w:p w:rsidR="00572343" w:rsidRPr="00671D5B" w:rsidRDefault="00DE6904" w:rsidP="00A974E5">
            <w:pPr>
              <w:pStyle w:val="Default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Potential Quality Measures</w:t>
            </w:r>
            <w:r w:rsidR="00DD28C8">
              <w:rPr>
                <w:sz w:val="22"/>
                <w:szCs w:val="22"/>
              </w:rPr>
              <w:t>:</w:t>
            </w:r>
          </w:p>
          <w:p w:rsidR="00482B9F" w:rsidRDefault="00482B9F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Encounters Per Month Per Member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Unnecessary admissions - Ambulatory Care Sensitive Conditions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All Cause Readmission Rates</w:t>
            </w:r>
            <w:r w:rsidR="00315D1E">
              <w:rPr>
                <w:sz w:val="22"/>
                <w:szCs w:val="22"/>
              </w:rPr>
              <w:t xml:space="preserve"> </w:t>
            </w:r>
            <w:r w:rsidR="00482B9F">
              <w:rPr>
                <w:sz w:val="22"/>
                <w:szCs w:val="22"/>
              </w:rPr>
              <w:t>- Medical and BH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Emergency Department Visits</w:t>
            </w:r>
            <w:r w:rsidR="00482B9F">
              <w:rPr>
                <w:sz w:val="22"/>
                <w:szCs w:val="22"/>
              </w:rPr>
              <w:t xml:space="preserve"> </w:t>
            </w:r>
            <w:r w:rsidR="00315D1E">
              <w:rPr>
                <w:sz w:val="22"/>
                <w:szCs w:val="22"/>
              </w:rPr>
              <w:t>-</w:t>
            </w:r>
            <w:r w:rsidR="00482B9F">
              <w:rPr>
                <w:sz w:val="22"/>
                <w:szCs w:val="22"/>
              </w:rPr>
              <w:t xml:space="preserve"> Medical and BH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Transition Record Transmitted to Health Care Professional post hospitalization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Follow-up after Hospitalization for Mental Illness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Adult Body Mass Index (BMI) Assessment documented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Screening for Clinical Depression and Follow-up Plan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Adult Asthma Control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Controlling High Blood Pressure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HbA1c Level Screening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Improve Cardiovascular Care for Individuals with CAD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Tobacco Cessation Intervention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Initiation and Engagement of Alcohol and Other Drug Dependence T</w:t>
            </w:r>
            <w:r w:rsidR="00A974E5">
              <w:rPr>
                <w:sz w:val="22"/>
                <w:szCs w:val="22"/>
              </w:rPr>
              <w:t>x</w:t>
            </w:r>
          </w:p>
          <w:p w:rsidR="00EB56D1" w:rsidRPr="00671D5B" w:rsidRDefault="00EB56D1" w:rsidP="00A974E5">
            <w:pPr>
              <w:pStyle w:val="Default"/>
              <w:numPr>
                <w:ilvl w:val="0"/>
                <w:numId w:val="5"/>
              </w:numPr>
              <w:spacing w:after="20"/>
              <w:ind w:left="360"/>
              <w:rPr>
                <w:sz w:val="22"/>
                <w:szCs w:val="22"/>
              </w:rPr>
            </w:pPr>
            <w:r w:rsidRPr="00671D5B">
              <w:rPr>
                <w:sz w:val="22"/>
                <w:szCs w:val="22"/>
              </w:rPr>
              <w:t>General Satisfaction With Care, Access, Quality and Appropriateness</w:t>
            </w:r>
          </w:p>
        </w:tc>
      </w:tr>
    </w:tbl>
    <w:p w:rsidR="00A545FB" w:rsidRPr="00671D5B" w:rsidRDefault="00A545FB" w:rsidP="00671D5B">
      <w:pPr>
        <w:pStyle w:val="Default"/>
        <w:rPr>
          <w:sz w:val="22"/>
          <w:szCs w:val="22"/>
        </w:rPr>
      </w:pPr>
    </w:p>
    <w:sectPr w:rsidR="00A545FB" w:rsidRPr="00671D5B" w:rsidSect="008E726A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C6" w:rsidRDefault="00ED7EC6" w:rsidP="0059578F">
      <w:pPr>
        <w:spacing w:after="0" w:line="240" w:lineRule="auto"/>
      </w:pPr>
      <w:r>
        <w:separator/>
      </w:r>
    </w:p>
  </w:endnote>
  <w:endnote w:type="continuationSeparator" w:id="0">
    <w:p w:rsidR="00ED7EC6" w:rsidRDefault="00ED7EC6" w:rsidP="0059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3274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9578F" w:rsidRDefault="0059578F" w:rsidP="009C2F39">
        <w:pPr>
          <w:pStyle w:val="Footer"/>
          <w:pBdr>
            <w:top w:val="single" w:sz="4" w:space="1" w:color="D9D9D9" w:themeColor="background1" w:themeShade="D9"/>
          </w:pBdr>
          <w:ind w:left="684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F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9578F" w:rsidRDefault="0059578F" w:rsidP="005957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C6" w:rsidRDefault="00ED7EC6" w:rsidP="0059578F">
      <w:pPr>
        <w:spacing w:after="0" w:line="240" w:lineRule="auto"/>
      </w:pPr>
      <w:r>
        <w:separator/>
      </w:r>
    </w:p>
  </w:footnote>
  <w:footnote w:type="continuationSeparator" w:id="0">
    <w:p w:rsidR="00ED7EC6" w:rsidRDefault="00ED7EC6" w:rsidP="0059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F" w:rsidRPr="0059578F" w:rsidRDefault="0059578F" w:rsidP="0059578F">
    <w:pPr>
      <w:pStyle w:val="Default"/>
      <w:jc w:val="center"/>
      <w:rPr>
        <w:b/>
        <w:sz w:val="36"/>
        <w:szCs w:val="36"/>
      </w:rPr>
    </w:pPr>
    <w:r w:rsidRPr="0059578F">
      <w:rPr>
        <w:b/>
        <w:sz w:val="36"/>
        <w:szCs w:val="36"/>
      </w:rPr>
      <w:t>CoventryCares Beha</w:t>
    </w:r>
    <w:r w:rsidR="009E047B">
      <w:rPr>
        <w:b/>
        <w:sz w:val="36"/>
        <w:szCs w:val="36"/>
      </w:rPr>
      <w:t>vioral Health Home Pilot</w:t>
    </w:r>
  </w:p>
  <w:p w:rsidR="0059578F" w:rsidRPr="0059578F" w:rsidRDefault="0059578F" w:rsidP="0059578F">
    <w:pPr>
      <w:pStyle w:val="Default"/>
      <w:jc w:val="center"/>
      <w:rPr>
        <w:b/>
        <w:sz w:val="36"/>
        <w:szCs w:val="36"/>
      </w:rPr>
    </w:pPr>
  </w:p>
  <w:p w:rsidR="0059578F" w:rsidRDefault="0059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3E2"/>
    <w:multiLevelType w:val="hybridMultilevel"/>
    <w:tmpl w:val="4B9C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B6"/>
    <w:multiLevelType w:val="hybridMultilevel"/>
    <w:tmpl w:val="5B4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77E0"/>
    <w:multiLevelType w:val="hybridMultilevel"/>
    <w:tmpl w:val="E6CA94A6"/>
    <w:lvl w:ilvl="0" w:tplc="782EE5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566D"/>
    <w:multiLevelType w:val="hybridMultilevel"/>
    <w:tmpl w:val="6CC8C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80F"/>
    <w:multiLevelType w:val="multilevel"/>
    <w:tmpl w:val="889EA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5" w15:restartNumberingAfterBreak="0">
    <w:nsid w:val="300A216A"/>
    <w:multiLevelType w:val="hybridMultilevel"/>
    <w:tmpl w:val="1F1C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DCC"/>
    <w:multiLevelType w:val="hybridMultilevel"/>
    <w:tmpl w:val="AC7E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D0A65"/>
    <w:multiLevelType w:val="hybridMultilevel"/>
    <w:tmpl w:val="C5CE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35B"/>
    <w:multiLevelType w:val="hybridMultilevel"/>
    <w:tmpl w:val="CD30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2CB7"/>
    <w:multiLevelType w:val="hybridMultilevel"/>
    <w:tmpl w:val="605E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5185B"/>
    <w:multiLevelType w:val="hybridMultilevel"/>
    <w:tmpl w:val="059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28EB"/>
    <w:multiLevelType w:val="hybridMultilevel"/>
    <w:tmpl w:val="EE04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15EEC"/>
    <w:rsid w:val="00035142"/>
    <w:rsid w:val="00052D22"/>
    <w:rsid w:val="000C75C3"/>
    <w:rsid w:val="001056D5"/>
    <w:rsid w:val="001D3BA3"/>
    <w:rsid w:val="001F633E"/>
    <w:rsid w:val="00226239"/>
    <w:rsid w:val="00291B3D"/>
    <w:rsid w:val="002A366F"/>
    <w:rsid w:val="002B79AA"/>
    <w:rsid w:val="00315D1E"/>
    <w:rsid w:val="003467EC"/>
    <w:rsid w:val="003F2A6A"/>
    <w:rsid w:val="003F7D8C"/>
    <w:rsid w:val="00482B9F"/>
    <w:rsid w:val="00572343"/>
    <w:rsid w:val="0059578F"/>
    <w:rsid w:val="005A69E4"/>
    <w:rsid w:val="005B1CF1"/>
    <w:rsid w:val="005D3ED4"/>
    <w:rsid w:val="005E374B"/>
    <w:rsid w:val="0060003F"/>
    <w:rsid w:val="00605061"/>
    <w:rsid w:val="0064258D"/>
    <w:rsid w:val="00671D5B"/>
    <w:rsid w:val="00682C2D"/>
    <w:rsid w:val="006C4AA9"/>
    <w:rsid w:val="00704F2A"/>
    <w:rsid w:val="00757762"/>
    <w:rsid w:val="007B31C5"/>
    <w:rsid w:val="007F1563"/>
    <w:rsid w:val="00805210"/>
    <w:rsid w:val="0086122E"/>
    <w:rsid w:val="00866C0E"/>
    <w:rsid w:val="008A76FE"/>
    <w:rsid w:val="008C2106"/>
    <w:rsid w:val="008E726A"/>
    <w:rsid w:val="009C2F39"/>
    <w:rsid w:val="009E047B"/>
    <w:rsid w:val="009F5E33"/>
    <w:rsid w:val="00A1496D"/>
    <w:rsid w:val="00A545FB"/>
    <w:rsid w:val="00A974E5"/>
    <w:rsid w:val="00AA6DE2"/>
    <w:rsid w:val="00AB3341"/>
    <w:rsid w:val="00B467DA"/>
    <w:rsid w:val="00B55F0F"/>
    <w:rsid w:val="00B77CBA"/>
    <w:rsid w:val="00BB60F8"/>
    <w:rsid w:val="00BB6557"/>
    <w:rsid w:val="00BC3116"/>
    <w:rsid w:val="00C05FE3"/>
    <w:rsid w:val="00C30127"/>
    <w:rsid w:val="00C57012"/>
    <w:rsid w:val="00CB65CF"/>
    <w:rsid w:val="00D13440"/>
    <w:rsid w:val="00D85F6D"/>
    <w:rsid w:val="00DD03E0"/>
    <w:rsid w:val="00DD28C8"/>
    <w:rsid w:val="00DE6904"/>
    <w:rsid w:val="00E14EFA"/>
    <w:rsid w:val="00E849E3"/>
    <w:rsid w:val="00EB56D1"/>
    <w:rsid w:val="00ED7EC6"/>
    <w:rsid w:val="00EE4905"/>
    <w:rsid w:val="00EF109A"/>
    <w:rsid w:val="00F71870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769E9-472B-4959-89AD-933F1B31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8F"/>
  </w:style>
  <w:style w:type="paragraph" w:styleId="Footer">
    <w:name w:val="footer"/>
    <w:basedOn w:val="Normal"/>
    <w:link w:val="FooterChar"/>
    <w:uiPriority w:val="99"/>
    <w:unhideWhenUsed/>
    <w:rsid w:val="0059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8F"/>
  </w:style>
  <w:style w:type="character" w:styleId="Strong">
    <w:name w:val="Strong"/>
    <w:basedOn w:val="DefaultParagraphFont"/>
    <w:uiPriority w:val="22"/>
    <w:qFormat/>
    <w:rsid w:val="0070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8AF5-646D-4C04-A895-56B8F6DE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Bloomfield, Ira</dc:creator>
  <cp:lastModifiedBy>Hendler, Jonathan (DMAS)</cp:lastModifiedBy>
  <cp:revision>2</cp:revision>
  <dcterms:created xsi:type="dcterms:W3CDTF">2018-03-27T12:45:00Z</dcterms:created>
  <dcterms:modified xsi:type="dcterms:W3CDTF">2018-03-27T12:45:00Z</dcterms:modified>
</cp:coreProperties>
</file>